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0CF9" w14:textId="77777777" w:rsidR="00824E43" w:rsidRDefault="00824E43">
      <w:pPr>
        <w:pStyle w:val="BodyText"/>
        <w:spacing w:before="217"/>
        <w:rPr>
          <w:i w:val="0"/>
          <w:sz w:val="28"/>
        </w:rPr>
      </w:pPr>
    </w:p>
    <w:p w14:paraId="1BCAAEFC" w14:textId="77777777" w:rsidR="00824E43" w:rsidRDefault="005D7FA0">
      <w:pPr>
        <w:pStyle w:val="Title"/>
      </w:pPr>
      <w:r>
        <w:rPr>
          <w:spacing w:val="-2"/>
        </w:rPr>
        <w:t>ABSTRAK</w:t>
      </w:r>
    </w:p>
    <w:p w14:paraId="49A7BD35" w14:textId="77777777" w:rsidR="00824E43" w:rsidRDefault="00824E43">
      <w:pPr>
        <w:pStyle w:val="BodyText"/>
        <w:spacing w:before="230"/>
        <w:rPr>
          <w:b/>
          <w:i w:val="0"/>
          <w:sz w:val="28"/>
        </w:rPr>
      </w:pPr>
    </w:p>
    <w:p w14:paraId="431274EB" w14:textId="77777777" w:rsidR="00824E43" w:rsidRDefault="005D7FA0">
      <w:pPr>
        <w:ind w:left="588" w:right="115"/>
        <w:jc w:val="both"/>
        <w:rPr>
          <w:sz w:val="24"/>
        </w:rPr>
      </w:pPr>
      <w:r>
        <w:rPr>
          <w:sz w:val="24"/>
        </w:rPr>
        <w:t xml:space="preserve">Sa’diyyah, Aulia Marifatus, 2024. </w:t>
      </w:r>
      <w:r>
        <w:rPr>
          <w:i/>
          <w:sz w:val="24"/>
        </w:rPr>
        <w:t>Pengaruh Guided Inquiry Learning</w:t>
      </w:r>
      <w:r>
        <w:rPr>
          <w:i/>
          <w:spacing w:val="80"/>
          <w:sz w:val="24"/>
        </w:rPr>
        <w:t xml:space="preserve"> </w:t>
      </w:r>
      <w:r>
        <w:rPr>
          <w:i/>
          <w:sz w:val="24"/>
        </w:rPr>
        <w:t>Berbantuan Video Animasi Pada Mata Pelajaran IPAS Terhadap Kemampuan Berpikir Kritis Siswa Kelas V di SDN Karangmangu</w:t>
      </w:r>
      <w:r>
        <w:rPr>
          <w:sz w:val="24"/>
        </w:rPr>
        <w:t>. Skripsi, Program Studi Pendidikan Guru Sekolah Dasar. Universitas Peradaban. Pembimbing Anwar Ardani, M.Pd.</w:t>
      </w:r>
    </w:p>
    <w:p w14:paraId="361C2CF8" w14:textId="77777777" w:rsidR="00824E43" w:rsidRDefault="00824E43">
      <w:pPr>
        <w:pStyle w:val="BodyText"/>
        <w:rPr>
          <w:i w:val="0"/>
        </w:rPr>
      </w:pPr>
    </w:p>
    <w:p w14:paraId="71F5F883" w14:textId="77777777" w:rsidR="00824E43" w:rsidRDefault="005D7FA0">
      <w:pPr>
        <w:ind w:left="588" w:right="120"/>
        <w:jc w:val="both"/>
        <w:rPr>
          <w:sz w:val="24"/>
        </w:rPr>
      </w:pPr>
      <w:r>
        <w:rPr>
          <w:sz w:val="24"/>
        </w:rPr>
        <w:t xml:space="preserve">Kata Kunci: </w:t>
      </w:r>
      <w:r>
        <w:rPr>
          <w:i/>
          <w:sz w:val="24"/>
        </w:rPr>
        <w:t>Guided Inquiry L</w:t>
      </w:r>
      <w:r>
        <w:rPr>
          <w:i/>
          <w:sz w:val="24"/>
        </w:rPr>
        <w:t>earning</w:t>
      </w:r>
      <w:r>
        <w:rPr>
          <w:sz w:val="24"/>
        </w:rPr>
        <w:t>, Video Animasi, IPAS, Kemampuan Berpikir Kritis</w:t>
      </w:r>
    </w:p>
    <w:p w14:paraId="044BB24E" w14:textId="77777777" w:rsidR="00824E43" w:rsidRDefault="00824E43">
      <w:pPr>
        <w:pStyle w:val="BodyText"/>
        <w:rPr>
          <w:i w:val="0"/>
        </w:rPr>
      </w:pPr>
    </w:p>
    <w:p w14:paraId="6703FF6C" w14:textId="77777777" w:rsidR="00824E43" w:rsidRDefault="005D7FA0">
      <w:pPr>
        <w:pStyle w:val="Heading1"/>
        <w:ind w:left="588" w:right="114" w:firstLine="720"/>
        <w:jc w:val="both"/>
      </w:pPr>
      <w:r>
        <w:t xml:space="preserve">Rendahnya kemampuan berpikir kritis siswa pada mata pelajaran IPAS disebabkan karena guru masih menggunakan pembelajaran konvensional. Penelitian ini bertujuan untuk mengetahui pengaruh </w:t>
      </w:r>
      <w:r>
        <w:rPr>
          <w:i/>
        </w:rPr>
        <w:t>guided inquir</w:t>
      </w:r>
      <w:r>
        <w:rPr>
          <w:i/>
        </w:rPr>
        <w:t xml:space="preserve">y learning </w:t>
      </w:r>
      <w:r>
        <w:t xml:space="preserve">berbantuan video animasi terhadap kemampuan berpikir kritis siswa pada mata pelajaran IPAS. Metode yang digunakan adalah </w:t>
      </w:r>
      <w:r>
        <w:rPr>
          <w:i/>
        </w:rPr>
        <w:t xml:space="preserve">quasi eksperiment </w:t>
      </w:r>
      <w:r>
        <w:t xml:space="preserve">dengan desain </w:t>
      </w:r>
      <w:r>
        <w:rPr>
          <w:i/>
        </w:rPr>
        <w:t xml:space="preserve">Non Equivalent Pretest and Posttest Group Design. </w:t>
      </w:r>
      <w:r>
        <w:t>Penelitian ini dilakukan di SDN di desa ka</w:t>
      </w:r>
      <w:r>
        <w:t xml:space="preserve">rangmangu tahun ajaran 2023/2024 dengan populasi sebanyak 50 siswa dan 30 sampel. Teknik penentuan sampling menggunakan </w:t>
      </w:r>
      <w:r>
        <w:rPr>
          <w:i/>
        </w:rPr>
        <w:t xml:space="preserve">cluster random sampling. </w:t>
      </w:r>
      <w:r>
        <w:t>Instrument yang digunakan adalah tes dengan menggunakan teknik analisis data berupa uji Normalitas, Uji Homogen</w:t>
      </w:r>
      <w:r>
        <w:t>itas, dan Uji Keseimbangan. Berdasarkan uji regresi linier sederhana menghasilkan nilai F</w:t>
      </w:r>
      <w:r>
        <w:rPr>
          <w:vertAlign w:val="subscript"/>
        </w:rPr>
        <w:t>hitung</w:t>
      </w:r>
      <w:r>
        <w:t xml:space="preserve"> (55,25) &gt; F</w:t>
      </w:r>
      <w:r>
        <w:rPr>
          <w:vertAlign w:val="subscript"/>
        </w:rPr>
        <w:t>tabel</w:t>
      </w:r>
      <w:r>
        <w:t xml:space="preserve"> (4,67) dan memperoleh koefisien determinasi sebesar 0,8094. Sehingga dapat disimpulkan bahwa pembelajaran inkuiri berbantuan video animasi memb</w:t>
      </w:r>
      <w:r>
        <w:t xml:space="preserve">erikan pengaruh sebesar 80,94% terhadap kemampuan berpikir kritis siswa pada mata pelajaran IPAS. Berdasarkan uji </w:t>
      </w:r>
      <w:r>
        <w:rPr>
          <w:i/>
        </w:rPr>
        <w:t xml:space="preserve">independent sample t test </w:t>
      </w:r>
      <w:r>
        <w:t>diperoleh nilai T</w:t>
      </w:r>
      <w:r>
        <w:rPr>
          <w:vertAlign w:val="subscript"/>
        </w:rPr>
        <w:t>hitung</w:t>
      </w:r>
      <w:r>
        <w:t xml:space="preserve"> sebesar 3,83 &gt; T</w:t>
      </w:r>
      <w:r>
        <w:rPr>
          <w:vertAlign w:val="subscript"/>
        </w:rPr>
        <w:t>tabel</w:t>
      </w:r>
      <w:r>
        <w:t xml:space="preserve"> sebesar 2,048. Sehingga dapat disimpulkan bahwa terdapat perbedaan kem</w:t>
      </w:r>
      <w:r>
        <w:t xml:space="preserve">ampuan berpikir kritis siswa antara kelas yang menggunakan </w:t>
      </w:r>
      <w:r>
        <w:rPr>
          <w:i/>
        </w:rPr>
        <w:t xml:space="preserve">guided inquiry learning </w:t>
      </w:r>
      <w:r>
        <w:t xml:space="preserve">berbantuan video animasi dengan kelas yang menggunakan pembelajaran konvensional. Berdasarkan uji </w:t>
      </w:r>
      <w:r>
        <w:rPr>
          <w:i/>
        </w:rPr>
        <w:t xml:space="preserve">paired sample t test </w:t>
      </w:r>
      <w:r>
        <w:t>diperoleh nilai T</w:t>
      </w:r>
      <w:r>
        <w:rPr>
          <w:vertAlign w:val="subscript"/>
        </w:rPr>
        <w:t>hitung</w:t>
      </w:r>
      <w:r>
        <w:rPr>
          <w:spacing w:val="-15"/>
        </w:rPr>
        <w:t xml:space="preserve"> </w:t>
      </w:r>
      <w:r>
        <w:t>12,240 &gt; T</w:t>
      </w:r>
      <w:r>
        <w:rPr>
          <w:vertAlign w:val="subscript"/>
        </w:rPr>
        <w:t>tabel</w:t>
      </w:r>
      <w:r>
        <w:t xml:space="preserve"> (2,145). Hal i</w:t>
      </w:r>
      <w:r>
        <w:t xml:space="preserve">ni menunjukkan bahwa terdapat peningkatan kemampuan berpikri kritis siswa kelas V SDN Karangmangu pada mata pelajaran IPAS setelah diterapkannya </w:t>
      </w:r>
      <w:r>
        <w:rPr>
          <w:i/>
        </w:rPr>
        <w:t xml:space="preserve">guided inquiry learning </w:t>
      </w:r>
      <w:r>
        <w:t>berbantuan video animasi.</w:t>
      </w:r>
    </w:p>
    <w:p w14:paraId="1F6ACF11" w14:textId="77777777" w:rsidR="00824E43" w:rsidRDefault="00824E43">
      <w:pPr>
        <w:jc w:val="both"/>
        <w:sectPr w:rsidR="00824E43">
          <w:footerReference w:type="default" r:id="rId6"/>
          <w:type w:val="continuous"/>
          <w:pgSz w:w="11920" w:h="16840"/>
          <w:pgMar w:top="1940" w:right="1580" w:bottom="1920" w:left="1680" w:header="0" w:footer="1730" w:gutter="0"/>
          <w:pgNumType w:start="8"/>
          <w:cols w:space="720"/>
        </w:sectPr>
      </w:pPr>
    </w:p>
    <w:p w14:paraId="5F968A2D" w14:textId="77777777" w:rsidR="00824E43" w:rsidRDefault="00824E43">
      <w:pPr>
        <w:pStyle w:val="BodyText"/>
        <w:spacing w:before="5"/>
        <w:rPr>
          <w:i w:val="0"/>
          <w:sz w:val="28"/>
        </w:rPr>
      </w:pPr>
    </w:p>
    <w:p w14:paraId="2D3FD9BC" w14:textId="77777777" w:rsidR="00824E43" w:rsidRDefault="005D7FA0">
      <w:pPr>
        <w:ind w:left="897" w:right="1"/>
        <w:jc w:val="center"/>
        <w:rPr>
          <w:b/>
          <w:i/>
          <w:sz w:val="28"/>
        </w:rPr>
      </w:pPr>
      <w:r>
        <w:rPr>
          <w:b/>
          <w:i/>
          <w:spacing w:val="-2"/>
          <w:sz w:val="28"/>
        </w:rPr>
        <w:t>ABSTRACT</w:t>
      </w:r>
    </w:p>
    <w:p w14:paraId="0590BEAB" w14:textId="77777777" w:rsidR="00824E43" w:rsidRDefault="00824E43">
      <w:pPr>
        <w:pStyle w:val="BodyText"/>
        <w:spacing w:before="162"/>
        <w:rPr>
          <w:b/>
          <w:sz w:val="28"/>
        </w:rPr>
      </w:pPr>
    </w:p>
    <w:p w14:paraId="1CEF5088" w14:textId="77777777" w:rsidR="00824E43" w:rsidRDefault="005D7FA0">
      <w:pPr>
        <w:pStyle w:val="BodyText"/>
        <w:ind w:left="588" w:right="115"/>
        <w:jc w:val="both"/>
      </w:pPr>
      <w:r>
        <w:rPr>
          <w:i w:val="0"/>
        </w:rPr>
        <w:t>Sa'diyyah, Aulia Marifatus</w:t>
      </w:r>
      <w:r>
        <w:t xml:space="preserve">, </w:t>
      </w:r>
      <w:r>
        <w:rPr>
          <w:i w:val="0"/>
        </w:rPr>
        <w:t xml:space="preserve">2024. </w:t>
      </w:r>
      <w:r>
        <w:t>The Influence of Guided Inquiry Learning</w:t>
      </w:r>
      <w:r>
        <w:t xml:space="preserve"> Assisted by Animated Videos on Critical Thinking Skills of 5th Grade Students in SDN Karangmangu. Thesis, Elementary School Teacher Education Program, University of Peradaban. Supervisor: </w:t>
      </w:r>
      <w:r>
        <w:rPr>
          <w:i w:val="0"/>
        </w:rPr>
        <w:t xml:space="preserve">Anwar Ardani, </w:t>
      </w:r>
      <w:r>
        <w:t>M.Pd.</w:t>
      </w:r>
    </w:p>
    <w:p w14:paraId="23F143E8" w14:textId="77777777" w:rsidR="00824E43" w:rsidRDefault="00824E43">
      <w:pPr>
        <w:pStyle w:val="BodyText"/>
      </w:pPr>
    </w:p>
    <w:p w14:paraId="79C6CE3B" w14:textId="77777777" w:rsidR="00824E43" w:rsidRDefault="005D7FA0">
      <w:pPr>
        <w:pStyle w:val="BodyText"/>
        <w:ind w:left="588" w:right="122"/>
        <w:jc w:val="both"/>
      </w:pPr>
      <w:r>
        <w:t>Keywords: Guided inquiry Learning, Video Anima</w:t>
      </w:r>
      <w:r>
        <w:t>tion Media, IPAS, Critical</w:t>
      </w:r>
      <w:r>
        <w:t xml:space="preserve"> Thinking Abilities</w:t>
      </w:r>
    </w:p>
    <w:p w14:paraId="5AE29B0D" w14:textId="77777777" w:rsidR="00824E43" w:rsidRDefault="00824E43">
      <w:pPr>
        <w:pStyle w:val="BodyText"/>
      </w:pPr>
    </w:p>
    <w:p w14:paraId="42633809" w14:textId="77777777" w:rsidR="00824E43" w:rsidRDefault="005D7FA0">
      <w:pPr>
        <w:pStyle w:val="BodyText"/>
        <w:ind w:left="588" w:right="121" w:firstLine="720"/>
        <w:jc w:val="both"/>
      </w:pPr>
      <w:r>
        <w:rPr>
          <w:color w:val="161D1A"/>
        </w:rPr>
        <w:t>The</w:t>
      </w:r>
      <w:r>
        <w:rPr>
          <w:color w:val="161D1A"/>
          <w:spacing w:val="40"/>
        </w:rPr>
        <w:t xml:space="preserve"> </w:t>
      </w:r>
      <w:r>
        <w:rPr>
          <w:color w:val="161D1A"/>
        </w:rPr>
        <w:t>low critical</w:t>
      </w:r>
      <w:r>
        <w:rPr>
          <w:color w:val="161D1A"/>
          <w:spacing w:val="40"/>
        </w:rPr>
        <w:t xml:space="preserve"> </w:t>
      </w:r>
      <w:r>
        <w:rPr>
          <w:color w:val="161D1A"/>
        </w:rPr>
        <w:t>thinking</w:t>
      </w:r>
      <w:r>
        <w:rPr>
          <w:color w:val="161D1A"/>
          <w:spacing w:val="40"/>
        </w:rPr>
        <w:t xml:space="preserve"> </w:t>
      </w:r>
      <w:r>
        <w:rPr>
          <w:color w:val="161D1A"/>
        </w:rPr>
        <w:t>skills</w:t>
      </w:r>
      <w:r>
        <w:rPr>
          <w:color w:val="161D1A"/>
          <w:spacing w:val="40"/>
        </w:rPr>
        <w:t xml:space="preserve"> </w:t>
      </w:r>
      <w:r>
        <w:rPr>
          <w:color w:val="161D1A"/>
        </w:rPr>
        <w:t>of</w:t>
      </w:r>
      <w:r>
        <w:rPr>
          <w:color w:val="161D1A"/>
          <w:spacing w:val="40"/>
        </w:rPr>
        <w:t xml:space="preserve"> </w:t>
      </w:r>
      <w:r>
        <w:rPr>
          <w:color w:val="161D1A"/>
        </w:rPr>
        <w:t>students in</w:t>
      </w:r>
      <w:r>
        <w:rPr>
          <w:color w:val="161D1A"/>
          <w:spacing w:val="40"/>
        </w:rPr>
        <w:t xml:space="preserve"> </w:t>
      </w:r>
      <w:r>
        <w:rPr>
          <w:color w:val="161D1A"/>
        </w:rPr>
        <w:t>the</w:t>
      </w:r>
      <w:r>
        <w:rPr>
          <w:color w:val="161D1A"/>
          <w:spacing w:val="40"/>
        </w:rPr>
        <w:t xml:space="preserve"> </w:t>
      </w:r>
      <w:r>
        <w:rPr>
          <w:color w:val="161D1A"/>
        </w:rPr>
        <w:t>IPAS</w:t>
      </w:r>
      <w:r>
        <w:rPr>
          <w:color w:val="161D1A"/>
          <w:spacing w:val="40"/>
        </w:rPr>
        <w:t xml:space="preserve"> </w:t>
      </w:r>
      <w:r>
        <w:rPr>
          <w:color w:val="161D1A"/>
        </w:rPr>
        <w:t>subject</w:t>
      </w:r>
      <w:r>
        <w:rPr>
          <w:color w:val="161D1A"/>
          <w:spacing w:val="40"/>
        </w:rPr>
        <w:t xml:space="preserve"> </w:t>
      </w:r>
      <w:r>
        <w:rPr>
          <w:color w:val="161D1A"/>
        </w:rPr>
        <w:t>were</w:t>
      </w:r>
      <w:r>
        <w:rPr>
          <w:color w:val="161D1A"/>
        </w:rPr>
        <w:t xml:space="preserve"> caused by teachers still using conventional teaching methods. This study used the guided inquiry learning model with animated video media. </w:t>
      </w:r>
      <w:r>
        <w:rPr>
          <w:color w:val="161D1A"/>
        </w:rPr>
        <w:t>The aim of this research was to determine the effect of guided inquiry learning with the help of animated videos on students' critical thinking skills in the IPAS subject. The method used was a quasi-experiment with a Non-Equivalent Pretest and Posttest Gr</w:t>
      </w:r>
      <w:r>
        <w:rPr>
          <w:color w:val="161D1A"/>
        </w:rPr>
        <w:t>oup Design. This research was conducted at SDN in Karangmangu village in the</w:t>
      </w:r>
      <w:r>
        <w:rPr>
          <w:color w:val="161D1A"/>
          <w:spacing w:val="18"/>
        </w:rPr>
        <w:t xml:space="preserve"> </w:t>
      </w:r>
      <w:r>
        <w:rPr>
          <w:color w:val="161D1A"/>
        </w:rPr>
        <w:t>2023/2024</w:t>
      </w:r>
      <w:r>
        <w:rPr>
          <w:color w:val="161D1A"/>
          <w:spacing w:val="16"/>
        </w:rPr>
        <w:t xml:space="preserve"> </w:t>
      </w:r>
      <w:r>
        <w:rPr>
          <w:color w:val="161D1A"/>
        </w:rPr>
        <w:t>academic</w:t>
      </w:r>
      <w:r>
        <w:rPr>
          <w:color w:val="161D1A"/>
          <w:spacing w:val="23"/>
        </w:rPr>
        <w:t xml:space="preserve"> </w:t>
      </w:r>
      <w:r>
        <w:rPr>
          <w:color w:val="161D1A"/>
        </w:rPr>
        <w:t>year,</w:t>
      </w:r>
      <w:r>
        <w:rPr>
          <w:color w:val="161D1A"/>
          <w:spacing w:val="21"/>
        </w:rPr>
        <w:t xml:space="preserve"> </w:t>
      </w:r>
      <w:r>
        <w:rPr>
          <w:color w:val="161D1A"/>
        </w:rPr>
        <w:t>with</w:t>
      </w:r>
      <w:r>
        <w:rPr>
          <w:color w:val="161D1A"/>
          <w:spacing w:val="21"/>
        </w:rPr>
        <w:t xml:space="preserve"> </w:t>
      </w:r>
      <w:r>
        <w:rPr>
          <w:color w:val="161D1A"/>
        </w:rPr>
        <w:t>a</w:t>
      </w:r>
      <w:r>
        <w:rPr>
          <w:color w:val="161D1A"/>
          <w:spacing w:val="21"/>
        </w:rPr>
        <w:t xml:space="preserve"> </w:t>
      </w:r>
      <w:r>
        <w:rPr>
          <w:color w:val="161D1A"/>
        </w:rPr>
        <w:t>population</w:t>
      </w:r>
      <w:r>
        <w:rPr>
          <w:color w:val="161D1A"/>
          <w:spacing w:val="21"/>
        </w:rPr>
        <w:t xml:space="preserve"> </w:t>
      </w:r>
      <w:r>
        <w:rPr>
          <w:color w:val="161D1A"/>
        </w:rPr>
        <w:t>of</w:t>
      </w:r>
      <w:r>
        <w:rPr>
          <w:color w:val="161D1A"/>
          <w:spacing w:val="22"/>
        </w:rPr>
        <w:t xml:space="preserve"> </w:t>
      </w:r>
      <w:r>
        <w:rPr>
          <w:color w:val="161D1A"/>
        </w:rPr>
        <w:t>50</w:t>
      </w:r>
      <w:r>
        <w:rPr>
          <w:color w:val="161D1A"/>
          <w:spacing w:val="21"/>
        </w:rPr>
        <w:t xml:space="preserve"> </w:t>
      </w:r>
      <w:r>
        <w:rPr>
          <w:color w:val="161D1A"/>
        </w:rPr>
        <w:t>students</w:t>
      </w:r>
      <w:r>
        <w:rPr>
          <w:color w:val="161D1A"/>
          <w:spacing w:val="20"/>
        </w:rPr>
        <w:t xml:space="preserve"> </w:t>
      </w:r>
      <w:r>
        <w:rPr>
          <w:color w:val="161D1A"/>
        </w:rPr>
        <w:t>and</w:t>
      </w:r>
      <w:r>
        <w:rPr>
          <w:color w:val="161D1A"/>
          <w:spacing w:val="21"/>
        </w:rPr>
        <w:t xml:space="preserve"> </w:t>
      </w:r>
      <w:r>
        <w:rPr>
          <w:color w:val="161D1A"/>
        </w:rPr>
        <w:t>a</w:t>
      </w:r>
      <w:r>
        <w:rPr>
          <w:color w:val="161D1A"/>
          <w:spacing w:val="21"/>
        </w:rPr>
        <w:t xml:space="preserve"> </w:t>
      </w:r>
      <w:r>
        <w:rPr>
          <w:color w:val="161D1A"/>
        </w:rPr>
        <w:t>sample</w:t>
      </w:r>
      <w:r>
        <w:rPr>
          <w:color w:val="161D1A"/>
          <w:spacing w:val="23"/>
        </w:rPr>
        <w:t xml:space="preserve"> </w:t>
      </w:r>
      <w:r>
        <w:rPr>
          <w:color w:val="161D1A"/>
        </w:rPr>
        <w:t>of</w:t>
      </w:r>
    </w:p>
    <w:p w14:paraId="736983D6" w14:textId="77777777" w:rsidR="00824E43" w:rsidRDefault="005D7FA0">
      <w:pPr>
        <w:pStyle w:val="BodyText"/>
        <w:spacing w:before="1"/>
        <w:ind w:left="588" w:right="120"/>
        <w:jc w:val="both"/>
      </w:pPr>
      <w:r>
        <w:rPr>
          <w:color w:val="161D1A"/>
        </w:rPr>
        <w:t>30. The sampling technique used cluster random sampling. The instrument used</w:t>
      </w:r>
      <w:r>
        <w:rPr>
          <w:color w:val="161D1A"/>
        </w:rPr>
        <w:t xml:space="preserve"> was a test and the data analysis technique included tests for Normality, Homogeneity, and Balance. Based on</w:t>
      </w:r>
      <w:r>
        <w:rPr>
          <w:color w:val="161D1A"/>
          <w:spacing w:val="40"/>
        </w:rPr>
        <w:t xml:space="preserve"> </w:t>
      </w:r>
      <w:r>
        <w:rPr>
          <w:color w:val="161D1A"/>
        </w:rPr>
        <w:t>a simple</w:t>
      </w:r>
      <w:r>
        <w:rPr>
          <w:color w:val="161D1A"/>
          <w:spacing w:val="40"/>
        </w:rPr>
        <w:t xml:space="preserve"> </w:t>
      </w:r>
      <w:r>
        <w:rPr>
          <w:color w:val="161D1A"/>
        </w:rPr>
        <w:t>linear</w:t>
      </w:r>
      <w:r>
        <w:rPr>
          <w:color w:val="161D1A"/>
          <w:spacing w:val="40"/>
        </w:rPr>
        <w:t xml:space="preserve"> </w:t>
      </w:r>
      <w:r>
        <w:rPr>
          <w:color w:val="161D1A"/>
        </w:rPr>
        <w:t>regression test, the obtained F</w:t>
      </w:r>
      <w:r>
        <w:rPr>
          <w:color w:val="161D1A"/>
          <w:vertAlign w:val="subscript"/>
        </w:rPr>
        <w:t>count</w:t>
      </w:r>
      <w:r>
        <w:rPr>
          <w:color w:val="161D1A"/>
        </w:rPr>
        <w:t xml:space="preserve"> 55.25 &gt; F</w:t>
      </w:r>
      <w:r>
        <w:rPr>
          <w:color w:val="161D1A"/>
          <w:vertAlign w:val="subscript"/>
        </w:rPr>
        <w:t>table</w:t>
      </w:r>
      <w:r>
        <w:rPr>
          <w:color w:val="161D1A"/>
        </w:rPr>
        <w:t xml:space="preserve"> 4.6</w:t>
      </w:r>
      <w:r>
        <w:rPr>
          <w:color w:val="161D1A"/>
        </w:rPr>
        <w:t>7 and the coefficient of determination was</w:t>
      </w:r>
      <w:r>
        <w:rPr>
          <w:color w:val="161D1A"/>
          <w:spacing w:val="80"/>
        </w:rPr>
        <w:t xml:space="preserve"> </w:t>
      </w:r>
      <w:r>
        <w:rPr>
          <w:color w:val="161D1A"/>
        </w:rPr>
        <w:t>0.8094. Therefore, it can be concluded that inquiry-based learning with the help</w:t>
      </w:r>
      <w:r>
        <w:rPr>
          <w:color w:val="161D1A"/>
          <w:spacing w:val="40"/>
        </w:rPr>
        <w:t xml:space="preserve"> </w:t>
      </w:r>
      <w:r>
        <w:rPr>
          <w:color w:val="161D1A"/>
        </w:rPr>
        <w:t>of animated videos has an influence of 80.94% on students' critical thinking skills in the IPAS subject. Based on an independent sam</w:t>
      </w:r>
      <w:r>
        <w:rPr>
          <w:color w:val="161D1A"/>
        </w:rPr>
        <w:t>ple t-test, the obtained T</w:t>
      </w:r>
      <w:r>
        <w:rPr>
          <w:color w:val="161D1A"/>
          <w:vertAlign w:val="subscript"/>
        </w:rPr>
        <w:t>count</w:t>
      </w:r>
      <w:r>
        <w:rPr>
          <w:color w:val="161D1A"/>
          <w:spacing w:val="80"/>
        </w:rPr>
        <w:t xml:space="preserve"> </w:t>
      </w:r>
      <w:r>
        <w:rPr>
          <w:color w:val="161D1A"/>
        </w:rPr>
        <w:t>was 3.83 &gt;</w:t>
      </w:r>
      <w:r>
        <w:rPr>
          <w:color w:val="161D1A"/>
          <w:spacing w:val="40"/>
        </w:rPr>
        <w:t xml:space="preserve"> </w:t>
      </w:r>
      <w:r>
        <w:rPr>
          <w:color w:val="161D1A"/>
        </w:rPr>
        <w:t>T</w:t>
      </w:r>
      <w:r>
        <w:rPr>
          <w:color w:val="161D1A"/>
          <w:vertAlign w:val="subscript"/>
        </w:rPr>
        <w:t>table</w:t>
      </w:r>
      <w:r>
        <w:rPr>
          <w:color w:val="161D1A"/>
        </w:rPr>
        <w:t xml:space="preserve"> of 2.048. Therefore,</w:t>
      </w:r>
      <w:r>
        <w:rPr>
          <w:color w:val="161D1A"/>
          <w:spacing w:val="40"/>
        </w:rPr>
        <w:t xml:space="preserve"> </w:t>
      </w:r>
      <w:r>
        <w:rPr>
          <w:color w:val="161D1A"/>
        </w:rPr>
        <w:t>it</w:t>
      </w:r>
      <w:r>
        <w:rPr>
          <w:color w:val="161D1A"/>
          <w:spacing w:val="40"/>
        </w:rPr>
        <w:t xml:space="preserve"> </w:t>
      </w:r>
      <w:r>
        <w:rPr>
          <w:color w:val="161D1A"/>
        </w:rPr>
        <w:t>can be concluded that there is a difference in students' critical thinking skills between the class using guided inquiry learning with animated videos and the class using conventiona</w:t>
      </w:r>
      <w:r>
        <w:rPr>
          <w:color w:val="161D1A"/>
        </w:rPr>
        <w:t>l teaching methods. Based on the</w:t>
      </w:r>
      <w:r>
        <w:rPr>
          <w:color w:val="161D1A"/>
          <w:spacing w:val="40"/>
        </w:rPr>
        <w:t xml:space="preserve"> </w:t>
      </w:r>
      <w:r>
        <w:rPr>
          <w:color w:val="161D1A"/>
        </w:rPr>
        <w:t>paired sample t-test, a T</w:t>
      </w:r>
      <w:r>
        <w:rPr>
          <w:color w:val="161D1A"/>
          <w:vertAlign w:val="subscript"/>
        </w:rPr>
        <w:t>count</w:t>
      </w:r>
      <w:r>
        <w:rPr>
          <w:color w:val="161D1A"/>
        </w:rPr>
        <w:t xml:space="preserve"> of 12.240 was obtained,</w:t>
      </w:r>
      <w:r>
        <w:rPr>
          <w:color w:val="161D1A"/>
          <w:spacing w:val="80"/>
        </w:rPr>
        <w:t xml:space="preserve"> </w:t>
      </w:r>
      <w:r>
        <w:rPr>
          <w:color w:val="161D1A"/>
        </w:rPr>
        <w:t>which was greater than the T</w:t>
      </w:r>
      <w:r>
        <w:rPr>
          <w:color w:val="161D1A"/>
          <w:vertAlign w:val="subscript"/>
        </w:rPr>
        <w:t>table</w:t>
      </w:r>
      <w:r>
        <w:rPr>
          <w:color w:val="161D1A"/>
        </w:rPr>
        <w:t xml:space="preserve"> value of 2.145. Therefore, it could be concluded that there was an improvement in the critical thinking skills of the fifth-grade stud</w:t>
      </w:r>
      <w:r>
        <w:rPr>
          <w:color w:val="161D1A"/>
        </w:rPr>
        <w:t>ents at SDN Karangmangu in the IPAS subject after the implementation of guided inquiry learning with the assistance of animated videos. In future</w:t>
      </w:r>
      <w:r>
        <w:rPr>
          <w:color w:val="161D1A"/>
          <w:spacing w:val="80"/>
        </w:rPr>
        <w:t xml:space="preserve"> </w:t>
      </w:r>
      <w:r>
        <w:rPr>
          <w:color w:val="161D1A"/>
        </w:rPr>
        <w:t>research, it is hoped that different learning media can be used and the population can be expanded.</w:t>
      </w:r>
    </w:p>
    <w:sectPr w:rsidR="00824E43">
      <w:pgSz w:w="11920" w:h="16840"/>
      <w:pgMar w:top="1940" w:right="1580" w:bottom="1920" w:left="1680" w:header="0" w:footer="1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6DE6" w14:textId="77777777" w:rsidR="005D7FA0" w:rsidRDefault="005D7FA0">
      <w:r>
        <w:separator/>
      </w:r>
    </w:p>
  </w:endnote>
  <w:endnote w:type="continuationSeparator" w:id="0">
    <w:p w14:paraId="54B320C8" w14:textId="77777777" w:rsidR="005D7FA0" w:rsidRDefault="005D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7E0B" w14:textId="77777777" w:rsidR="00824E43" w:rsidRDefault="005D7FA0">
    <w:pPr>
      <w:pStyle w:val="BodyText"/>
      <w:spacing w:line="14" w:lineRule="auto"/>
      <w:rPr>
        <w:i w:val="0"/>
        <w:sz w:val="20"/>
      </w:rPr>
    </w:pPr>
    <w:r>
      <w:rPr>
        <w:noProof/>
      </w:rPr>
      <mc:AlternateContent>
        <mc:Choice Requires="wps">
          <w:drawing>
            <wp:anchor distT="0" distB="0" distL="0" distR="0" simplePos="0" relativeHeight="487561216" behindDoc="1" locked="0" layoutInCell="1" allowOverlap="1" wp14:anchorId="18F98187" wp14:editId="36EAD9E8">
              <wp:simplePos x="0" y="0"/>
              <wp:positionH relativeFrom="page">
                <wp:posOffset>3821429</wp:posOffset>
              </wp:positionH>
              <wp:positionV relativeFrom="page">
                <wp:posOffset>9454916</wp:posOffset>
              </wp:positionV>
              <wp:extent cx="29337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194310"/>
                      </a:xfrm>
                      <a:prstGeom prst="rect">
                        <a:avLst/>
                      </a:prstGeom>
                    </wps:spPr>
                    <wps:txbx>
                      <w:txbxContent>
                        <w:p w14:paraId="6AB66628" w14:textId="77777777" w:rsidR="00824E43" w:rsidRDefault="005D7FA0">
                          <w:pPr>
                            <w:spacing w:before="10"/>
                            <w:ind w:left="60"/>
                            <w:rPr>
                              <w:sz w:val="24"/>
                            </w:rPr>
                          </w:pPr>
                          <w:r>
                            <w:rPr>
                              <w:spacing w:val="-4"/>
                              <w:sz w:val="24"/>
                            </w:rPr>
                            <w:fldChar w:fldCharType="begin"/>
                          </w:r>
                          <w:r>
                            <w:rPr>
                              <w:spacing w:val="-4"/>
                              <w:sz w:val="24"/>
                            </w:rPr>
                            <w:instrText xml:space="preserve"> PAGE  \* roman </w:instrText>
                          </w:r>
                          <w:r>
                            <w:rPr>
                              <w:spacing w:val="-4"/>
                              <w:sz w:val="24"/>
                            </w:rPr>
                            <w:fldChar w:fldCharType="separate"/>
                          </w:r>
                          <w:r>
                            <w:rPr>
                              <w:spacing w:val="-4"/>
                              <w:sz w:val="24"/>
                            </w:rPr>
                            <w:t>viii</w:t>
                          </w:r>
                          <w:r>
                            <w:rPr>
                              <w:spacing w:val="-4"/>
                              <w:sz w:val="24"/>
                            </w:rPr>
                            <w:fldChar w:fldCharType="end"/>
                          </w:r>
                        </w:p>
                      </w:txbxContent>
                    </wps:txbx>
                    <wps:bodyPr wrap="square" lIns="0" tIns="0" rIns="0" bIns="0" rtlCol="0">
                      <a:noAutofit/>
                    </wps:bodyPr>
                  </wps:wsp>
                </a:graphicData>
              </a:graphic>
            </wp:anchor>
          </w:drawing>
        </mc:Choice>
        <mc:Fallback>
          <w:pict>
            <v:shapetype w14:anchorId="18F98187" id="_x0000_t202" coordsize="21600,21600" o:spt="202" path="m,l,21600r21600,l21600,xe">
              <v:stroke joinstyle="miter"/>
              <v:path gradientshapeok="t" o:connecttype="rect"/>
            </v:shapetype>
            <v:shape id="Textbox 1" o:spid="_x0000_s1026" type="#_x0000_t202" style="position:absolute;margin-left:300.9pt;margin-top:744.5pt;width:23.1pt;height:15.3pt;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ohpwEAAD4DAAAOAAAAZHJzL2Uyb0RvYy54bWysUsFu2zAMvQ/oPwi6L4qTYVuNOMXWYsOA&#10;YivQ7gNkWYqFWaImKrHz96MUJy2627CLTJlPj++R3NxMbmAHHdGCb3i1WHKmvYLO+l3Dfz59efuR&#10;M0zSd3IArxt+1MhvtldvNmOo9Qp6GDodGZF4rMfQ8D6lUAuBqtdO4gKC9pQ0EJ1MdI070UU5Ersb&#10;xGq5fC9GiF2IoDQi/b07Jfm28BujVfphDOrEhoaTtlTOWM42n2K7kfUuytBbNcuQ/6DCSeup6IXq&#10;TibJ9tH+ReWsioBg0kKBE2CMVbp4IDfV8pWbx14GXbxQczBc2oT/j1Z9PzxEZjuaHWdeOhrRk55S&#10;CxOrcnPGgDVhHgOh0vQZpgzMRjHcg/qFBBEvMKcHSOiMmUx0+Us2GT2k/h8vPaciTNHP1fV6/YEy&#10;ilLV9bt1VWYinh+HiOmrBsdy0PBIIy0C5OEeUy4v6zNk1nIqn1WlqZ1mEy10R/Iw0qgbjr/3MmrO&#10;hm+eepn34hzEc9Ceg5iGWyjbk614+LRPYGypnEuceOfKNKQiaF6ovAUv7wX1vPbbPwAAAP//AwBQ&#10;SwMEFAAGAAgAAAAhAFWQCQ7hAAAADQEAAA8AAABkcnMvZG93bnJldi54bWxMj8FOwzAQRO9I/Qdr&#10;K3GjdlCJkhCnqhCckBBpOHB0YjexGq9D7Lbh71lOcNvdGc2+KXeLG9nFzMF6lJBsBDCDndcWewkf&#10;zctdBixEhVqNHo2EbxNgV61uSlVof8XaXA6xZxSCoVAShhingvPQDcapsPGTQdKOfnYq0jr3XM/q&#10;SuFu5PdCpNwpi/RhUJN5Gkx3OpydhP0n1s/26619r4+1bZpc4Gt6kvJ2vewfgUWzxD8z/OITOlTE&#10;1Poz6sBGCalICD2SsM1yakWWdJvR0NLpIclT4FXJ/7eofgAAAP//AwBQSwECLQAUAAYACAAAACEA&#10;toM4kv4AAADhAQAAEwAAAAAAAAAAAAAAAAAAAAAAW0NvbnRlbnRfVHlwZXNdLnhtbFBLAQItABQA&#10;BgAIAAAAIQA4/SH/1gAAAJQBAAALAAAAAAAAAAAAAAAAAC8BAABfcmVscy8ucmVsc1BLAQItABQA&#10;BgAIAAAAIQD5awohpwEAAD4DAAAOAAAAAAAAAAAAAAAAAC4CAABkcnMvZTJvRG9jLnhtbFBLAQIt&#10;ABQABgAIAAAAIQBVkAkO4QAAAA0BAAAPAAAAAAAAAAAAAAAAAAEEAABkcnMvZG93bnJldi54bWxQ&#10;SwUGAAAAAAQABADzAAAADwUAAAAA&#10;" filled="f" stroked="f">
              <v:textbox inset="0,0,0,0">
                <w:txbxContent>
                  <w:p w14:paraId="6AB66628" w14:textId="77777777" w:rsidR="00824E43" w:rsidRDefault="005D7FA0">
                    <w:pPr>
                      <w:spacing w:before="10"/>
                      <w:ind w:left="60"/>
                      <w:rPr>
                        <w:sz w:val="24"/>
                      </w:rPr>
                    </w:pPr>
                    <w:r>
                      <w:rPr>
                        <w:spacing w:val="-4"/>
                        <w:sz w:val="24"/>
                      </w:rPr>
                      <w:fldChar w:fldCharType="begin"/>
                    </w:r>
                    <w:r>
                      <w:rPr>
                        <w:spacing w:val="-4"/>
                        <w:sz w:val="24"/>
                      </w:rPr>
                      <w:instrText xml:space="preserve"> PAGE  \* roman </w:instrText>
                    </w:r>
                    <w:r>
                      <w:rPr>
                        <w:spacing w:val="-4"/>
                        <w:sz w:val="24"/>
                      </w:rPr>
                      <w:fldChar w:fldCharType="separate"/>
                    </w:r>
                    <w:r>
                      <w:rPr>
                        <w:spacing w:val="-4"/>
                        <w:sz w:val="24"/>
                      </w:rPr>
                      <w:t>viii</w:t>
                    </w:r>
                    <w:r>
                      <w:rPr>
                        <w:spacing w:val="-4"/>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FA39" w14:textId="77777777" w:rsidR="005D7FA0" w:rsidRDefault="005D7FA0">
      <w:r>
        <w:separator/>
      </w:r>
    </w:p>
  </w:footnote>
  <w:footnote w:type="continuationSeparator" w:id="0">
    <w:p w14:paraId="6D3DDB9A" w14:textId="77777777" w:rsidR="005D7FA0" w:rsidRDefault="005D7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43"/>
    <w:rsid w:val="005D7FA0"/>
    <w:rsid w:val="00824E43"/>
    <w:rsid w:val="00FB14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392D"/>
  <w15:docId w15:val="{33153327-0397-4B9E-BD96-F6C7977D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ind w:left="89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RMX3430</dc:creator>
  <cp:lastModifiedBy>kendhil moment</cp:lastModifiedBy>
  <cp:revision>2</cp:revision>
  <dcterms:created xsi:type="dcterms:W3CDTF">2024-09-10T02:38:00Z</dcterms:created>
  <dcterms:modified xsi:type="dcterms:W3CDTF">2024-09-10T02:38:00Z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LTSC</vt:lpwstr>
  </property>
  <property fmtid="{D5CDD505-2E9C-101B-9397-08002B2CF9AE}" pid="4" name="LastSaved">
    <vt:filetime>2024-09-10T00:00:00Z</vt:filetime>
  </property>
  <property fmtid="{D5CDD505-2E9C-101B-9397-08002B2CF9AE}" pid="5" name="Producer">
    <vt:lpwstr>Microsoft® Word LTSC</vt:lpwstr>
  </property>
</Properties>
</file>