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rPr>
          <w:i w:val="0"/>
          <w:sz w:val="20"/>
        </w:rPr>
      </w:pPr>
    </w:p>
    <w:p>
      <w:pPr>
        <w:spacing w:before="90"/>
        <w:ind w:left="591" w:right="123" w:firstLine="0"/>
        <w:jc w:val="center"/>
        <w:rPr>
          <w:b/>
          <w:i/>
          <w:sz w:val="24"/>
        </w:rPr>
      </w:pPr>
      <w:r>
        <w:rPr>
          <w:b/>
          <w:i/>
          <w:spacing w:val="-2"/>
          <w:sz w:val="24"/>
        </w:rPr>
        <w:t>ABSTRACT</w:t>
      </w:r>
    </w:p>
    <w:p>
      <w:pPr>
        <w:pStyle w:val="BodyText"/>
        <w:rPr>
          <w:b/>
          <w:i/>
          <w:sz w:val="26"/>
        </w:rPr>
      </w:pPr>
    </w:p>
    <w:p>
      <w:pPr>
        <w:pStyle w:val="BodyText"/>
        <w:rPr>
          <w:b/>
          <w:i/>
          <w:sz w:val="36"/>
        </w:rPr>
      </w:pPr>
    </w:p>
    <w:p>
      <w:pPr>
        <w:spacing w:before="0"/>
        <w:ind w:left="592" w:right="123" w:firstLine="0"/>
        <w:jc w:val="center"/>
        <w:rPr>
          <w:b/>
          <w:i/>
          <w:sz w:val="24"/>
        </w:rPr>
      </w:pPr>
      <w:r>
        <w:rPr>
          <w:b/>
          <w:i/>
          <w:sz w:val="24"/>
        </w:rPr>
        <w:t>Cost</w:t>
      </w:r>
      <w:r>
        <w:rPr>
          <w:b/>
          <w:i/>
          <w:spacing w:val="-3"/>
          <w:sz w:val="24"/>
        </w:rPr>
        <w:t> </w:t>
      </w:r>
      <w:r>
        <w:rPr>
          <w:b/>
          <w:i/>
          <w:sz w:val="24"/>
        </w:rPr>
        <w:t>Effectiveness</w:t>
      </w:r>
      <w:r>
        <w:rPr>
          <w:b/>
          <w:i/>
          <w:spacing w:val="-3"/>
          <w:sz w:val="24"/>
        </w:rPr>
        <w:t> </w:t>
      </w:r>
      <w:r>
        <w:rPr>
          <w:b/>
          <w:i/>
          <w:sz w:val="24"/>
        </w:rPr>
        <w:t>Analysis</w:t>
      </w:r>
      <w:r>
        <w:rPr>
          <w:b/>
          <w:i/>
          <w:spacing w:val="-3"/>
          <w:sz w:val="24"/>
        </w:rPr>
        <w:t> </w:t>
      </w:r>
      <w:r>
        <w:rPr>
          <w:b/>
          <w:i/>
          <w:sz w:val="24"/>
        </w:rPr>
        <w:t>of</w:t>
      </w:r>
      <w:r>
        <w:rPr>
          <w:b/>
          <w:i/>
          <w:spacing w:val="-2"/>
          <w:sz w:val="24"/>
        </w:rPr>
        <w:t> </w:t>
      </w:r>
      <w:r>
        <w:rPr>
          <w:b/>
          <w:i/>
          <w:sz w:val="24"/>
        </w:rPr>
        <w:t>Antibiotic</w:t>
      </w:r>
      <w:r>
        <w:rPr>
          <w:b/>
          <w:i/>
          <w:spacing w:val="-3"/>
          <w:sz w:val="24"/>
        </w:rPr>
        <w:t> </w:t>
      </w:r>
      <w:r>
        <w:rPr>
          <w:b/>
          <w:i/>
          <w:sz w:val="24"/>
        </w:rPr>
        <w:t>Drug</w:t>
      </w:r>
      <w:r>
        <w:rPr>
          <w:b/>
          <w:i/>
          <w:spacing w:val="-3"/>
          <w:sz w:val="24"/>
        </w:rPr>
        <w:t> </w:t>
      </w:r>
      <w:r>
        <w:rPr>
          <w:b/>
          <w:i/>
          <w:sz w:val="24"/>
        </w:rPr>
        <w:t>Use</w:t>
      </w:r>
      <w:r>
        <w:rPr>
          <w:b/>
          <w:i/>
          <w:spacing w:val="-3"/>
          <w:sz w:val="24"/>
        </w:rPr>
        <w:t> </w:t>
      </w:r>
      <w:r>
        <w:rPr>
          <w:b/>
          <w:i/>
          <w:sz w:val="24"/>
        </w:rPr>
        <w:t>in</w:t>
      </w:r>
      <w:r>
        <w:rPr>
          <w:b/>
          <w:i/>
          <w:spacing w:val="-3"/>
          <w:sz w:val="24"/>
        </w:rPr>
        <w:t> </w:t>
      </w:r>
      <w:r>
        <w:rPr>
          <w:b/>
          <w:i/>
          <w:sz w:val="24"/>
        </w:rPr>
        <w:t>Toddler</w:t>
      </w:r>
      <w:r>
        <w:rPr>
          <w:b/>
          <w:i/>
          <w:spacing w:val="-3"/>
          <w:sz w:val="24"/>
        </w:rPr>
        <w:t> </w:t>
      </w:r>
      <w:r>
        <w:rPr>
          <w:b/>
          <w:i/>
          <w:sz w:val="24"/>
        </w:rPr>
        <w:t>Pneumonia</w:t>
      </w:r>
      <w:r>
        <w:rPr>
          <w:b/>
          <w:i/>
          <w:spacing w:val="-5"/>
          <w:sz w:val="24"/>
        </w:rPr>
        <w:t> </w:t>
      </w:r>
      <w:r>
        <w:rPr>
          <w:b/>
          <w:i/>
          <w:sz w:val="24"/>
        </w:rPr>
        <w:t>at</w:t>
      </w:r>
      <w:r>
        <w:rPr>
          <w:b/>
          <w:i/>
          <w:spacing w:val="-2"/>
          <w:sz w:val="24"/>
        </w:rPr>
        <w:t> </w:t>
      </w:r>
      <w:r>
        <w:rPr>
          <w:b/>
          <w:i/>
          <w:sz w:val="24"/>
        </w:rPr>
        <w:t>the</w:t>
      </w:r>
      <w:r>
        <w:rPr>
          <w:b/>
          <w:i/>
          <w:sz w:val="24"/>
        </w:rPr>
        <w:t> Inpatient Installation Of RSUD Ajibarang Hospital in 2023</w:t>
      </w:r>
    </w:p>
    <w:p>
      <w:pPr>
        <w:pStyle w:val="BodyText"/>
        <w:spacing w:before="154"/>
        <w:ind w:left="589" w:right="123"/>
        <w:jc w:val="center"/>
        <w:rPr>
          <w:i/>
        </w:rPr>
      </w:pPr>
      <w:r>
        <w:rPr>
          <w:i/>
        </w:rPr>
        <w:t>Nur</w:t>
      </w:r>
      <w:r>
        <w:rPr>
          <w:i/>
          <w:spacing w:val="-1"/>
        </w:rPr>
        <w:t> </w:t>
      </w:r>
      <w:r>
        <w:rPr>
          <w:i/>
        </w:rPr>
        <w:t>Okti</w:t>
      </w:r>
      <w:r>
        <w:rPr>
          <w:i/>
          <w:spacing w:val="-3"/>
        </w:rPr>
        <w:t> </w:t>
      </w:r>
      <w:r>
        <w:rPr>
          <w:i/>
        </w:rPr>
        <w:t>Arfiani</w:t>
      </w:r>
      <w:r>
        <w:rPr>
          <w:i/>
          <w:spacing w:val="-1"/>
        </w:rPr>
        <w:t> </w:t>
      </w:r>
      <w:r>
        <w:rPr>
          <w:i/>
          <w:vertAlign w:val="superscript"/>
        </w:rPr>
        <w:t>1</w:t>
      </w:r>
      <w:r>
        <w:rPr>
          <w:i/>
          <w:vertAlign w:val="baseline"/>
        </w:rPr>
        <w:t>,</w:t>
      </w:r>
      <w:r>
        <w:rPr>
          <w:i/>
          <w:spacing w:val="-5"/>
          <w:vertAlign w:val="baseline"/>
        </w:rPr>
        <w:t> </w:t>
      </w:r>
      <w:r>
        <w:rPr>
          <w:i/>
          <w:vertAlign w:val="baseline"/>
        </w:rPr>
        <w:t>Teguh</w:t>
      </w:r>
      <w:r>
        <w:rPr>
          <w:i/>
          <w:spacing w:val="-2"/>
          <w:vertAlign w:val="baseline"/>
        </w:rPr>
        <w:t> </w:t>
      </w:r>
      <w:r>
        <w:rPr>
          <w:i/>
          <w:vertAlign w:val="baseline"/>
        </w:rPr>
        <w:t>Hary</w:t>
      </w:r>
      <w:r>
        <w:rPr>
          <w:i/>
          <w:spacing w:val="-3"/>
          <w:vertAlign w:val="baseline"/>
        </w:rPr>
        <w:t> </w:t>
      </w:r>
      <w:r>
        <w:rPr>
          <w:i/>
          <w:vertAlign w:val="baseline"/>
        </w:rPr>
        <w:t>Kartono</w:t>
      </w:r>
      <w:r>
        <w:rPr>
          <w:i/>
          <w:spacing w:val="-2"/>
          <w:vertAlign w:val="baseline"/>
        </w:rPr>
        <w:t> </w:t>
      </w:r>
      <w:r>
        <w:rPr>
          <w:i/>
          <w:vertAlign w:val="superscript"/>
        </w:rPr>
        <w:t>2</w:t>
      </w:r>
      <w:r>
        <w:rPr>
          <w:i/>
          <w:vertAlign w:val="baseline"/>
        </w:rPr>
        <w:t>,</w:t>
      </w:r>
      <w:r>
        <w:rPr>
          <w:i/>
          <w:spacing w:val="-2"/>
          <w:vertAlign w:val="baseline"/>
        </w:rPr>
        <w:t> </w:t>
      </w:r>
      <w:r>
        <w:rPr>
          <w:i/>
          <w:vertAlign w:val="baseline"/>
        </w:rPr>
        <w:t>Resa</w:t>
      </w:r>
      <w:r>
        <w:rPr>
          <w:i/>
          <w:spacing w:val="-1"/>
          <w:vertAlign w:val="baseline"/>
        </w:rPr>
        <w:t> </w:t>
      </w:r>
      <w:r>
        <w:rPr>
          <w:i/>
          <w:vertAlign w:val="baseline"/>
        </w:rPr>
        <w:t>Frafela</w:t>
      </w:r>
      <w:r>
        <w:rPr>
          <w:i/>
          <w:spacing w:val="-2"/>
          <w:vertAlign w:val="baseline"/>
        </w:rPr>
        <w:t> </w:t>
      </w:r>
      <w:r>
        <w:rPr>
          <w:i/>
          <w:vertAlign w:val="baseline"/>
        </w:rPr>
        <w:t>Rosmi</w:t>
      </w:r>
      <w:r>
        <w:rPr>
          <w:i/>
          <w:spacing w:val="-2"/>
          <w:vertAlign w:val="baseline"/>
        </w:rPr>
        <w:t> </w:t>
      </w:r>
      <w:r>
        <w:rPr>
          <w:i/>
          <w:spacing w:val="-10"/>
          <w:vertAlign w:val="superscript"/>
        </w:rPr>
        <w:t>3</w:t>
      </w:r>
    </w:p>
    <w:p>
      <w:pPr>
        <w:pStyle w:val="BodyText"/>
        <w:ind w:left="590" w:right="123"/>
        <w:jc w:val="center"/>
        <w:rPr>
          <w:i/>
        </w:rPr>
      </w:pPr>
      <w:r>
        <w:rPr>
          <w:i/>
        </w:rPr>
        <w:t>Email:</w:t>
      </w:r>
      <w:r>
        <w:rPr>
          <w:i/>
          <w:spacing w:val="-2"/>
        </w:rPr>
        <w:t> </w:t>
      </w:r>
      <w:hyperlink r:id="rId6">
        <w:r>
          <w:rPr>
            <w:i/>
            <w:spacing w:val="-2"/>
          </w:rPr>
          <w:t>nuroktiarfiani25@gmail.com.</w:t>
        </w:r>
      </w:hyperlink>
    </w:p>
    <w:p>
      <w:pPr>
        <w:pStyle w:val="BodyText"/>
        <w:spacing w:before="11"/>
        <w:rPr>
          <w:i/>
          <w:sz w:val="37"/>
        </w:rPr>
      </w:pPr>
    </w:p>
    <w:p>
      <w:pPr>
        <w:pStyle w:val="BodyText"/>
        <w:ind w:left="587" w:right="114"/>
        <w:jc w:val="both"/>
      </w:pPr>
      <w:r>
        <w:rPr>
          <w:i/>
        </w:rPr>
        <w:t>Pneumonia is a contagious and dangerous infectious disease and a problem in</w:t>
      </w:r>
      <w:r>
        <w:rPr/>
        <w:t> developing</w:t>
      </w:r>
      <w:r>
        <w:rPr>
          <w:spacing w:val="-10"/>
        </w:rPr>
        <w:t> </w:t>
      </w:r>
      <w:r>
        <w:rPr/>
        <w:t>countries.</w:t>
      </w:r>
      <w:r>
        <w:rPr>
          <w:spacing w:val="-10"/>
        </w:rPr>
        <w:t> </w:t>
      </w:r>
      <w:r>
        <w:rPr/>
        <w:t>Pneumonia</w:t>
      </w:r>
      <w:r>
        <w:rPr>
          <w:spacing w:val="-11"/>
        </w:rPr>
        <w:t> </w:t>
      </w:r>
      <w:r>
        <w:rPr/>
        <w:t>can</w:t>
      </w:r>
      <w:r>
        <w:rPr>
          <w:spacing w:val="-11"/>
        </w:rPr>
        <w:t> </w:t>
      </w:r>
      <w:r>
        <w:rPr/>
        <w:t>affect</w:t>
      </w:r>
      <w:r>
        <w:rPr>
          <w:spacing w:val="-10"/>
        </w:rPr>
        <w:t> </w:t>
      </w:r>
      <w:r>
        <w:rPr/>
        <w:t>all</w:t>
      </w:r>
      <w:r>
        <w:rPr>
          <w:spacing w:val="-9"/>
        </w:rPr>
        <w:t> </w:t>
      </w:r>
      <w:r>
        <w:rPr/>
        <w:t>ages</w:t>
      </w:r>
      <w:r>
        <w:rPr>
          <w:spacing w:val="-11"/>
        </w:rPr>
        <w:t> </w:t>
      </w:r>
      <w:r>
        <w:rPr/>
        <w:t>with</w:t>
      </w:r>
      <w:r>
        <w:rPr>
          <w:spacing w:val="-10"/>
        </w:rPr>
        <w:t> </w:t>
      </w:r>
      <w:r>
        <w:rPr/>
        <w:t>children</w:t>
      </w:r>
      <w:r>
        <w:rPr>
          <w:spacing w:val="-10"/>
        </w:rPr>
        <w:t> </w:t>
      </w:r>
      <w:r>
        <w:rPr/>
        <w:t>less</w:t>
      </w:r>
      <w:r>
        <w:rPr>
          <w:spacing w:val="-13"/>
        </w:rPr>
        <w:t> </w:t>
      </w:r>
      <w:r>
        <w:rPr/>
        <w:t>than</w:t>
      </w:r>
      <w:r>
        <w:rPr>
          <w:spacing w:val="-13"/>
        </w:rPr>
        <w:t> </w:t>
      </w:r>
      <w:r>
        <w:rPr/>
        <w:t>2</w:t>
      </w:r>
      <w:r>
        <w:rPr>
          <w:spacing w:val="-11"/>
        </w:rPr>
        <w:t> </w:t>
      </w:r>
      <w:r>
        <w:rPr/>
        <w:t>years old</w:t>
      </w:r>
      <w:r>
        <w:rPr>
          <w:spacing w:val="-3"/>
        </w:rPr>
        <w:t> </w:t>
      </w:r>
      <w:r>
        <w:rPr/>
        <w:t>being</w:t>
      </w:r>
      <w:r>
        <w:rPr>
          <w:spacing w:val="-3"/>
        </w:rPr>
        <w:t> </w:t>
      </w:r>
      <w:r>
        <w:rPr/>
        <w:t>particularly</w:t>
      </w:r>
      <w:r>
        <w:rPr>
          <w:spacing w:val="-4"/>
        </w:rPr>
        <w:t> </w:t>
      </w:r>
      <w:r>
        <w:rPr/>
        <w:t>susceptible.</w:t>
      </w:r>
      <w:r>
        <w:rPr>
          <w:spacing w:val="-3"/>
        </w:rPr>
        <w:t> </w:t>
      </w:r>
      <w:r>
        <w:rPr/>
        <w:t>Pharmacoeconomics</w:t>
      </w:r>
      <w:r>
        <w:rPr>
          <w:spacing w:val="-4"/>
        </w:rPr>
        <w:t> </w:t>
      </w:r>
      <w:r>
        <w:rPr/>
        <w:t>plays</w:t>
      </w:r>
      <w:r>
        <w:rPr>
          <w:spacing w:val="-4"/>
        </w:rPr>
        <w:t> </w:t>
      </w:r>
      <w:r>
        <w:rPr/>
        <w:t>an</w:t>
      </w:r>
      <w:r>
        <w:rPr>
          <w:spacing w:val="-3"/>
        </w:rPr>
        <w:t> </w:t>
      </w:r>
      <w:r>
        <w:rPr/>
        <w:t>important role</w:t>
      </w:r>
      <w:r>
        <w:rPr>
          <w:spacing w:val="-4"/>
        </w:rPr>
        <w:t> </w:t>
      </w:r>
      <w:r>
        <w:rPr/>
        <w:t>in drug cost analysis to minimize the cost of treatment expenditure during the treatment</w:t>
      </w:r>
      <w:r>
        <w:rPr>
          <w:spacing w:val="-5"/>
        </w:rPr>
        <w:t> </w:t>
      </w:r>
      <w:r>
        <w:rPr/>
        <w:t>period.</w:t>
      </w:r>
      <w:r>
        <w:rPr>
          <w:spacing w:val="-5"/>
        </w:rPr>
        <w:t> </w:t>
      </w:r>
      <w:r>
        <w:rPr/>
        <w:t>The</w:t>
      </w:r>
      <w:r>
        <w:rPr>
          <w:spacing w:val="-2"/>
        </w:rPr>
        <w:t> </w:t>
      </w:r>
      <w:r>
        <w:rPr/>
        <w:t>purpose</w:t>
      </w:r>
      <w:r>
        <w:rPr>
          <w:spacing w:val="-5"/>
        </w:rPr>
        <w:t> </w:t>
      </w:r>
      <w:r>
        <w:rPr/>
        <w:t>of</w:t>
      </w:r>
      <w:r>
        <w:rPr>
          <w:spacing w:val="-4"/>
        </w:rPr>
        <w:t> </w:t>
      </w:r>
      <w:r>
        <w:rPr/>
        <w:t>this</w:t>
      </w:r>
      <w:r>
        <w:rPr>
          <w:spacing w:val="-5"/>
        </w:rPr>
        <w:t> </w:t>
      </w:r>
      <w:r>
        <w:rPr/>
        <w:t>study</w:t>
      </w:r>
      <w:r>
        <w:rPr>
          <w:spacing w:val="-2"/>
        </w:rPr>
        <w:t> </w:t>
      </w:r>
      <w:r>
        <w:rPr/>
        <w:t>was</w:t>
      </w:r>
      <w:r>
        <w:rPr>
          <w:spacing w:val="-4"/>
        </w:rPr>
        <w:t> </w:t>
      </w:r>
      <w:r>
        <w:rPr/>
        <w:t>to</w:t>
      </w:r>
      <w:r>
        <w:rPr>
          <w:spacing w:val="-5"/>
        </w:rPr>
        <w:t> </w:t>
      </w:r>
      <w:r>
        <w:rPr/>
        <w:t>analyze</w:t>
      </w:r>
      <w:r>
        <w:rPr>
          <w:spacing w:val="-6"/>
        </w:rPr>
        <w:t> </w:t>
      </w:r>
      <w:r>
        <w:rPr/>
        <w:t>the</w:t>
      </w:r>
      <w:r>
        <w:rPr>
          <w:spacing w:val="-6"/>
        </w:rPr>
        <w:t> </w:t>
      </w:r>
      <w:r>
        <w:rPr/>
        <w:t>cost-effectiveness</w:t>
      </w:r>
      <w:r>
        <w:rPr>
          <w:spacing w:val="-4"/>
        </w:rPr>
        <w:t> </w:t>
      </w:r>
      <w:r>
        <w:rPr/>
        <w:t>of antibiotic drug use in toddler pneumonia patients in the Inpatient Installation of RSUD Ajibarang. This study used a descriptive method with retrospective data collection. Samples were obtained by purposive sampling method in toddler patients</w:t>
      </w:r>
      <w:r>
        <w:rPr>
          <w:spacing w:val="-7"/>
        </w:rPr>
        <w:t> </w:t>
      </w:r>
      <w:r>
        <w:rPr/>
        <w:t>diagnosed</w:t>
      </w:r>
      <w:r>
        <w:rPr>
          <w:spacing w:val="-7"/>
        </w:rPr>
        <w:t> </w:t>
      </w:r>
      <w:r>
        <w:rPr/>
        <w:t>with</w:t>
      </w:r>
      <w:r>
        <w:rPr>
          <w:spacing w:val="-7"/>
        </w:rPr>
        <w:t> </w:t>
      </w:r>
      <w:r>
        <w:rPr/>
        <w:t>pneumonia</w:t>
      </w:r>
      <w:r>
        <w:rPr>
          <w:spacing w:val="-7"/>
        </w:rPr>
        <w:t> </w:t>
      </w:r>
      <w:r>
        <w:rPr/>
        <w:t>and</w:t>
      </w:r>
      <w:r>
        <w:rPr>
          <w:spacing w:val="-7"/>
        </w:rPr>
        <w:t> </w:t>
      </w:r>
      <w:r>
        <w:rPr/>
        <w:t>bronchopnuemonia</w:t>
      </w:r>
      <w:r>
        <w:rPr>
          <w:spacing w:val="-6"/>
        </w:rPr>
        <w:t> </w:t>
      </w:r>
      <w:r>
        <w:rPr/>
        <w:t>who</w:t>
      </w:r>
      <w:r>
        <w:rPr>
          <w:spacing w:val="-6"/>
        </w:rPr>
        <w:t> </w:t>
      </w:r>
      <w:r>
        <w:rPr/>
        <w:t>were</w:t>
      </w:r>
      <w:r>
        <w:rPr>
          <w:spacing w:val="-7"/>
        </w:rPr>
        <w:t> </w:t>
      </w:r>
      <w:r>
        <w:rPr/>
        <w:t>hospitalized in 2022, were general patients who received antibiotic therapy with complete medical</w:t>
      </w:r>
      <w:r>
        <w:rPr>
          <w:spacing w:val="-14"/>
        </w:rPr>
        <w:t> </w:t>
      </w:r>
      <w:r>
        <w:rPr/>
        <w:t>record</w:t>
      </w:r>
      <w:r>
        <w:rPr>
          <w:spacing w:val="-14"/>
        </w:rPr>
        <w:t> </w:t>
      </w:r>
      <w:r>
        <w:rPr/>
        <w:t>data</w:t>
      </w:r>
      <w:r>
        <w:rPr>
          <w:spacing w:val="-12"/>
        </w:rPr>
        <w:t> </w:t>
      </w:r>
      <w:r>
        <w:rPr/>
        <w:t>and</w:t>
      </w:r>
      <w:r>
        <w:rPr>
          <w:spacing w:val="-13"/>
        </w:rPr>
        <w:t> </w:t>
      </w:r>
      <w:r>
        <w:rPr/>
        <w:t>financing</w:t>
      </w:r>
      <w:r>
        <w:rPr>
          <w:spacing w:val="-13"/>
        </w:rPr>
        <w:t> </w:t>
      </w:r>
      <w:r>
        <w:rPr/>
        <w:t>data,</w:t>
      </w:r>
      <w:r>
        <w:rPr>
          <w:spacing w:val="-12"/>
        </w:rPr>
        <w:t> </w:t>
      </w:r>
      <w:r>
        <w:rPr/>
        <w:t>so</w:t>
      </w:r>
      <w:r>
        <w:rPr>
          <w:spacing w:val="-13"/>
        </w:rPr>
        <w:t> </w:t>
      </w:r>
      <w:r>
        <w:rPr/>
        <w:t>the</w:t>
      </w:r>
      <w:r>
        <w:rPr>
          <w:spacing w:val="-13"/>
        </w:rPr>
        <w:t> </w:t>
      </w:r>
      <w:r>
        <w:rPr/>
        <w:t>sample</w:t>
      </w:r>
      <w:r>
        <w:rPr>
          <w:spacing w:val="-13"/>
        </w:rPr>
        <w:t> </w:t>
      </w:r>
      <w:r>
        <w:rPr/>
        <w:t>in</w:t>
      </w:r>
      <w:r>
        <w:rPr>
          <w:spacing w:val="-13"/>
        </w:rPr>
        <w:t> </w:t>
      </w:r>
      <w:r>
        <w:rPr/>
        <w:t>this</w:t>
      </w:r>
      <w:r>
        <w:rPr>
          <w:spacing w:val="-13"/>
        </w:rPr>
        <w:t> </w:t>
      </w:r>
      <w:r>
        <w:rPr/>
        <w:t>study</w:t>
      </w:r>
      <w:r>
        <w:rPr>
          <w:spacing w:val="-13"/>
        </w:rPr>
        <w:t> </w:t>
      </w:r>
      <w:r>
        <w:rPr/>
        <w:t>was</w:t>
      </w:r>
      <w:r>
        <w:rPr>
          <w:spacing w:val="-12"/>
        </w:rPr>
        <w:t> </w:t>
      </w:r>
      <w:r>
        <w:rPr/>
        <w:t>40</w:t>
      </w:r>
      <w:r>
        <w:rPr>
          <w:spacing w:val="-13"/>
        </w:rPr>
        <w:t> </w:t>
      </w:r>
      <w:r>
        <w:rPr/>
        <w:t>patients. The results of this study showed that the profile of antibiotic use in toddler pneumonia patients was the combination of Cefotaxime IV + Cefixime Ds syr (25%), while the lowest antibiotic therapy was Ceftriaxone IV (2.5%), Ampicillin IV + Cefotaxime IV + Cefixime Ds syr (2, 5%), Ampicillin IV + Cefotaxime IV + Cefixime Caps (2.5%), Ampicillin IV + Ceftriaxone IV + Cefixime Ds syr (2.5%), Cefotaxime IV + Ampicillin IV + Cefixime Ds syr (2.5%), Cefotaxime IV + Ceftriaxone</w:t>
      </w:r>
      <w:r>
        <w:rPr>
          <w:spacing w:val="-3"/>
        </w:rPr>
        <w:t> </w:t>
      </w:r>
      <w:r>
        <w:rPr/>
        <w:t>IV</w:t>
      </w:r>
      <w:r>
        <w:rPr>
          <w:spacing w:val="-2"/>
        </w:rPr>
        <w:t> </w:t>
      </w:r>
      <w:r>
        <w:rPr/>
        <w:t>(2.5%),</w:t>
      </w:r>
      <w:r>
        <w:rPr>
          <w:spacing w:val="-3"/>
        </w:rPr>
        <w:t> </w:t>
      </w:r>
      <w:r>
        <w:rPr/>
        <w:t>Ceftriaxone</w:t>
      </w:r>
      <w:r>
        <w:rPr>
          <w:spacing w:val="-3"/>
        </w:rPr>
        <w:t> </w:t>
      </w:r>
      <w:r>
        <w:rPr/>
        <w:t>IV</w:t>
      </w:r>
      <w:r>
        <w:rPr>
          <w:spacing w:val="-4"/>
        </w:rPr>
        <w:t> </w:t>
      </w:r>
      <w:r>
        <w:rPr/>
        <w:t>+</w:t>
      </w:r>
      <w:r>
        <w:rPr>
          <w:spacing w:val="-2"/>
        </w:rPr>
        <w:t> </w:t>
      </w:r>
      <w:r>
        <w:rPr/>
        <w:t>Cefixime</w:t>
      </w:r>
      <w:r>
        <w:rPr>
          <w:spacing w:val="-2"/>
        </w:rPr>
        <w:t> </w:t>
      </w:r>
      <w:r>
        <w:rPr/>
        <w:t>Ds</w:t>
      </w:r>
      <w:r>
        <w:rPr>
          <w:spacing w:val="-3"/>
        </w:rPr>
        <w:t> </w:t>
      </w:r>
      <w:r>
        <w:rPr/>
        <w:t>syr</w:t>
      </w:r>
      <w:r>
        <w:rPr>
          <w:spacing w:val="-4"/>
        </w:rPr>
        <w:t> </w:t>
      </w:r>
      <w:r>
        <w:rPr/>
        <w:t>+</w:t>
      </w:r>
      <w:r>
        <w:rPr>
          <w:spacing w:val="-4"/>
        </w:rPr>
        <w:t> </w:t>
      </w:r>
      <w:r>
        <w:rPr/>
        <w:t>Cefotaxime</w:t>
      </w:r>
      <w:r>
        <w:rPr>
          <w:spacing w:val="-2"/>
        </w:rPr>
        <w:t> </w:t>
      </w:r>
      <w:r>
        <w:rPr/>
        <w:t>IV</w:t>
      </w:r>
      <w:r>
        <w:rPr>
          <w:spacing w:val="-2"/>
        </w:rPr>
        <w:t> </w:t>
      </w:r>
      <w:r>
        <w:rPr/>
        <w:t>(2.5%). The results of the calculation of the ACER value show that the most cost-effective antibiotic is Ceftriaxone IV with an ACER value of Rp. 967,037, -</w:t>
      </w:r>
    </w:p>
    <w:p>
      <w:pPr>
        <w:pStyle w:val="BodyText"/>
        <w:rPr>
          <w:i/>
          <w:sz w:val="26"/>
        </w:rPr>
      </w:pPr>
    </w:p>
    <w:p>
      <w:pPr>
        <w:pStyle w:val="BodyText"/>
        <w:spacing w:before="9"/>
        <w:rPr>
          <w:i/>
          <w:sz w:val="25"/>
        </w:rPr>
      </w:pPr>
    </w:p>
    <w:p>
      <w:pPr>
        <w:pStyle w:val="BodyText"/>
        <w:ind w:left="587"/>
        <w:jc w:val="both"/>
        <w:rPr>
          <w:i/>
        </w:rPr>
      </w:pPr>
      <w:r>
        <w:rPr>
          <w:b/>
          <w:i/>
        </w:rPr>
        <w:t>Keywords</w:t>
      </w:r>
      <w:r>
        <w:rPr>
          <w:b/>
          <w:i/>
          <w:spacing w:val="-5"/>
        </w:rPr>
        <w:t> </w:t>
      </w:r>
      <w:r>
        <w:rPr>
          <w:i/>
        </w:rPr>
        <w:t>:</w:t>
      </w:r>
      <w:r>
        <w:rPr>
          <w:i/>
          <w:spacing w:val="-5"/>
        </w:rPr>
        <w:t> </w:t>
      </w:r>
      <w:r>
        <w:rPr>
          <w:i/>
        </w:rPr>
        <w:t>Pneumonia,</w:t>
      </w:r>
      <w:r>
        <w:rPr>
          <w:i/>
          <w:spacing w:val="-2"/>
        </w:rPr>
        <w:t> </w:t>
      </w:r>
      <w:r>
        <w:rPr>
          <w:i/>
        </w:rPr>
        <w:t>Toddlers,</w:t>
      </w:r>
      <w:r>
        <w:rPr>
          <w:i/>
          <w:spacing w:val="-5"/>
        </w:rPr>
        <w:t> </w:t>
      </w:r>
      <w:r>
        <w:rPr>
          <w:i/>
        </w:rPr>
        <w:t>Antibiotics,</w:t>
      </w:r>
      <w:r>
        <w:rPr>
          <w:i/>
          <w:spacing w:val="-5"/>
        </w:rPr>
        <w:t> </w:t>
      </w:r>
      <w:r>
        <w:rPr>
          <w:i/>
        </w:rPr>
        <w:t>Cost-effective,</w:t>
      </w:r>
      <w:r>
        <w:rPr>
          <w:i/>
          <w:spacing w:val="-5"/>
        </w:rPr>
        <w:t> </w:t>
      </w:r>
      <w:r>
        <w:rPr>
          <w:i/>
        </w:rPr>
        <w:t>ACER,</w:t>
      </w:r>
      <w:r>
        <w:rPr>
          <w:i/>
          <w:spacing w:val="-4"/>
        </w:rPr>
        <w:t> ICER</w:t>
      </w:r>
    </w:p>
    <w:p>
      <w:pPr>
        <w:spacing w:after="0"/>
        <w:jc w:val="both"/>
        <w:sectPr>
          <w:footerReference w:type="default" r:id="rId5"/>
          <w:type w:val="continuous"/>
          <w:pgSz w:w="11910" w:h="16840"/>
          <w:pgMar w:footer="1060" w:header="0" w:top="1920" w:bottom="1240" w:left="1680" w:right="1580"/>
          <w:pgNumType w:start="7"/>
        </w:sectPr>
      </w:pPr>
    </w:p>
    <w:p>
      <w:pPr>
        <w:pStyle w:val="BodyText"/>
        <w:spacing w:before="9"/>
        <w:rPr>
          <w:i/>
          <w:sz w:val="20"/>
        </w:rPr>
      </w:pPr>
    </w:p>
    <w:p>
      <w:pPr>
        <w:spacing w:before="90"/>
        <w:ind w:left="591" w:right="123" w:firstLine="0"/>
        <w:jc w:val="center"/>
        <w:rPr>
          <w:b/>
          <w:sz w:val="24"/>
        </w:rPr>
      </w:pPr>
      <w:r>
        <w:rPr>
          <w:b/>
          <w:spacing w:val="-2"/>
          <w:sz w:val="24"/>
        </w:rPr>
        <w:t>ABSTRAK</w:t>
      </w:r>
    </w:p>
    <w:p>
      <w:pPr>
        <w:pStyle w:val="BodyText"/>
        <w:rPr>
          <w:b/>
          <w:i w:val="0"/>
        </w:rPr>
      </w:pPr>
    </w:p>
    <w:p>
      <w:pPr>
        <w:spacing w:before="0"/>
        <w:ind w:left="592" w:right="122" w:firstLine="0"/>
        <w:jc w:val="center"/>
        <w:rPr>
          <w:b/>
          <w:sz w:val="24"/>
        </w:rPr>
      </w:pPr>
      <w:r>
        <w:rPr>
          <w:b/>
          <w:sz w:val="24"/>
        </w:rPr>
        <w:t>Analisis</w:t>
      </w:r>
      <w:r>
        <w:rPr>
          <w:b/>
          <w:spacing w:val="-5"/>
          <w:sz w:val="24"/>
        </w:rPr>
        <w:t> </w:t>
      </w:r>
      <w:r>
        <w:rPr>
          <w:b/>
          <w:sz w:val="24"/>
        </w:rPr>
        <w:t>Efektivitas</w:t>
      </w:r>
      <w:r>
        <w:rPr>
          <w:b/>
          <w:spacing w:val="-5"/>
          <w:sz w:val="24"/>
        </w:rPr>
        <w:t> </w:t>
      </w:r>
      <w:r>
        <w:rPr>
          <w:b/>
          <w:sz w:val="24"/>
        </w:rPr>
        <w:t>Biaya</w:t>
      </w:r>
      <w:r>
        <w:rPr>
          <w:b/>
          <w:spacing w:val="-5"/>
          <w:sz w:val="24"/>
        </w:rPr>
        <w:t> </w:t>
      </w:r>
      <w:r>
        <w:rPr>
          <w:b/>
          <w:sz w:val="24"/>
        </w:rPr>
        <w:t>Penggunaan</w:t>
      </w:r>
      <w:r>
        <w:rPr>
          <w:b/>
          <w:spacing w:val="-4"/>
          <w:sz w:val="24"/>
        </w:rPr>
        <w:t> </w:t>
      </w:r>
      <w:r>
        <w:rPr>
          <w:b/>
          <w:sz w:val="24"/>
        </w:rPr>
        <w:t>Obat</w:t>
      </w:r>
      <w:r>
        <w:rPr>
          <w:b/>
          <w:spacing w:val="-5"/>
          <w:sz w:val="24"/>
        </w:rPr>
        <w:t> </w:t>
      </w:r>
      <w:r>
        <w:rPr>
          <w:b/>
          <w:sz w:val="24"/>
        </w:rPr>
        <w:t>Antibiotik</w:t>
      </w:r>
      <w:r>
        <w:rPr>
          <w:b/>
          <w:spacing w:val="-5"/>
          <w:sz w:val="24"/>
        </w:rPr>
        <w:t> </w:t>
      </w:r>
      <w:r>
        <w:rPr>
          <w:b/>
          <w:sz w:val="24"/>
        </w:rPr>
        <w:t>Pada</w:t>
      </w:r>
      <w:r>
        <w:rPr>
          <w:b/>
          <w:spacing w:val="-5"/>
          <w:sz w:val="24"/>
        </w:rPr>
        <w:t> </w:t>
      </w:r>
      <w:r>
        <w:rPr>
          <w:b/>
          <w:sz w:val="24"/>
        </w:rPr>
        <w:t>Pneumonia Balita Di Instalasi Rawat Inap RSUD Ajibarang Tahun 2023</w:t>
      </w:r>
    </w:p>
    <w:p>
      <w:pPr>
        <w:spacing w:before="195"/>
        <w:ind w:left="586" w:right="123" w:firstLine="0"/>
        <w:jc w:val="center"/>
        <w:rPr>
          <w:sz w:val="24"/>
        </w:rPr>
      </w:pPr>
      <w:r>
        <w:rPr>
          <w:sz w:val="24"/>
        </w:rPr>
        <w:t>Nur</w:t>
      </w:r>
      <w:r>
        <w:rPr>
          <w:spacing w:val="-7"/>
          <w:sz w:val="24"/>
        </w:rPr>
        <w:t> </w:t>
      </w:r>
      <w:r>
        <w:rPr>
          <w:sz w:val="24"/>
        </w:rPr>
        <w:t>Okti</w:t>
      </w:r>
      <w:r>
        <w:rPr>
          <w:spacing w:val="-1"/>
          <w:sz w:val="24"/>
        </w:rPr>
        <w:t> </w:t>
      </w:r>
      <w:r>
        <w:rPr>
          <w:sz w:val="24"/>
        </w:rPr>
        <w:t>Arfiani</w:t>
      </w:r>
      <w:r>
        <w:rPr>
          <w:spacing w:val="-3"/>
          <w:sz w:val="24"/>
        </w:rPr>
        <w:t> </w:t>
      </w:r>
      <w:r>
        <w:rPr>
          <w:sz w:val="24"/>
          <w:vertAlign w:val="superscript"/>
        </w:rPr>
        <w:t>1</w:t>
      </w:r>
      <w:r>
        <w:rPr>
          <w:sz w:val="24"/>
          <w:vertAlign w:val="baseline"/>
        </w:rPr>
        <w:t>,</w:t>
      </w:r>
      <w:r>
        <w:rPr>
          <w:spacing w:val="-2"/>
          <w:sz w:val="24"/>
          <w:vertAlign w:val="baseline"/>
        </w:rPr>
        <w:t> </w:t>
      </w:r>
      <w:r>
        <w:rPr>
          <w:sz w:val="24"/>
          <w:vertAlign w:val="baseline"/>
        </w:rPr>
        <w:t>Teguh</w:t>
      </w:r>
      <w:r>
        <w:rPr>
          <w:spacing w:val="-2"/>
          <w:sz w:val="24"/>
          <w:vertAlign w:val="baseline"/>
        </w:rPr>
        <w:t> </w:t>
      </w:r>
      <w:r>
        <w:rPr>
          <w:sz w:val="24"/>
          <w:vertAlign w:val="baseline"/>
        </w:rPr>
        <w:t>Hary</w:t>
      </w:r>
      <w:r>
        <w:rPr>
          <w:spacing w:val="-8"/>
          <w:sz w:val="24"/>
          <w:vertAlign w:val="baseline"/>
        </w:rPr>
        <w:t> </w:t>
      </w:r>
      <w:r>
        <w:rPr>
          <w:sz w:val="24"/>
          <w:vertAlign w:val="baseline"/>
        </w:rPr>
        <w:t>Kartono</w:t>
      </w:r>
      <w:r>
        <w:rPr>
          <w:spacing w:val="-19"/>
          <w:sz w:val="24"/>
          <w:vertAlign w:val="baseline"/>
        </w:rPr>
        <w:t> </w:t>
      </w:r>
      <w:r>
        <w:rPr>
          <w:sz w:val="24"/>
          <w:vertAlign w:val="superscript"/>
        </w:rPr>
        <w:t>2,</w:t>
      </w:r>
      <w:r>
        <w:rPr>
          <w:spacing w:val="-19"/>
          <w:sz w:val="24"/>
          <w:vertAlign w:val="baseline"/>
        </w:rPr>
        <w:t> </w:t>
      </w:r>
      <w:r>
        <w:rPr>
          <w:sz w:val="24"/>
          <w:vertAlign w:val="baseline"/>
        </w:rPr>
        <w:t>Resa</w:t>
      </w:r>
      <w:r>
        <w:rPr>
          <w:spacing w:val="-3"/>
          <w:sz w:val="24"/>
          <w:vertAlign w:val="baseline"/>
        </w:rPr>
        <w:t> </w:t>
      </w:r>
      <w:r>
        <w:rPr>
          <w:sz w:val="24"/>
          <w:vertAlign w:val="baseline"/>
        </w:rPr>
        <w:t>Frafela</w:t>
      </w:r>
      <w:r>
        <w:rPr>
          <w:spacing w:val="-3"/>
          <w:sz w:val="24"/>
          <w:vertAlign w:val="baseline"/>
        </w:rPr>
        <w:t> </w:t>
      </w:r>
      <w:r>
        <w:rPr>
          <w:sz w:val="24"/>
          <w:vertAlign w:val="baseline"/>
        </w:rPr>
        <w:t>Rosmi</w:t>
      </w:r>
      <w:r>
        <w:rPr>
          <w:spacing w:val="-1"/>
          <w:sz w:val="24"/>
          <w:vertAlign w:val="baseline"/>
        </w:rPr>
        <w:t> </w:t>
      </w:r>
      <w:r>
        <w:rPr>
          <w:spacing w:val="-10"/>
          <w:sz w:val="24"/>
          <w:vertAlign w:val="superscript"/>
        </w:rPr>
        <w:t>3</w:t>
      </w:r>
    </w:p>
    <w:p>
      <w:pPr>
        <w:spacing w:before="0"/>
        <w:ind w:left="588" w:right="123" w:firstLine="0"/>
        <w:jc w:val="center"/>
        <w:rPr>
          <w:sz w:val="24"/>
        </w:rPr>
      </w:pPr>
      <w:r>
        <w:rPr>
          <w:sz w:val="24"/>
        </w:rPr>
        <w:t>Email:</w:t>
      </w:r>
      <w:r>
        <w:rPr>
          <w:spacing w:val="-3"/>
          <w:sz w:val="24"/>
        </w:rPr>
        <w:t> </w:t>
      </w:r>
      <w:hyperlink r:id="rId6">
        <w:r>
          <w:rPr>
            <w:spacing w:val="-2"/>
            <w:sz w:val="24"/>
          </w:rPr>
          <w:t>nuroktiarfiani25@gmail.com.</w:t>
        </w:r>
      </w:hyperlink>
    </w:p>
    <w:p>
      <w:pPr>
        <w:pStyle w:val="BodyText"/>
        <w:rPr>
          <w:i w:val="0"/>
          <w:sz w:val="26"/>
        </w:rPr>
      </w:pPr>
    </w:p>
    <w:p>
      <w:pPr>
        <w:spacing w:line="240" w:lineRule="auto" w:before="178"/>
        <w:ind w:left="587" w:right="116" w:firstLine="0"/>
        <w:jc w:val="both"/>
        <w:rPr>
          <w:sz w:val="24"/>
        </w:rPr>
      </w:pPr>
      <w:r>
        <w:rPr>
          <w:sz w:val="24"/>
        </w:rPr>
        <w:t>Pneumonia merupakan penyakit infeksi menular dan berbahaya serta menjadi masalah negara berkembang. Pneumonia dapat menyerang semua umur yang sangat rentan terserang adalah anak-anak usia kurang dari 2 tahun. Farmakoekonomi memainkan peran penting dalam analisis biaya obat untuk meminimalisa biaya pengeluaran pengobatan selama masa perawatan</w:t>
      </w:r>
      <w:r>
        <w:rPr>
          <w:spacing w:val="40"/>
          <w:sz w:val="24"/>
        </w:rPr>
        <w:t> </w:t>
      </w:r>
      <w:r>
        <w:rPr>
          <w:sz w:val="24"/>
        </w:rPr>
        <w:t>berlangsung. Tujuan dari penelitian ini adalah untuk menganalisis efektivitas</w:t>
      </w:r>
      <w:r>
        <w:rPr>
          <w:spacing w:val="40"/>
          <w:sz w:val="24"/>
        </w:rPr>
        <w:t> </w:t>
      </w:r>
      <w:r>
        <w:rPr>
          <w:sz w:val="24"/>
        </w:rPr>
        <w:t>biaya penggunaan obat antibiotik pada pasien pneumonia</w:t>
      </w:r>
      <w:r>
        <w:rPr>
          <w:spacing w:val="-1"/>
          <w:sz w:val="24"/>
        </w:rPr>
        <w:t> </w:t>
      </w:r>
      <w:r>
        <w:rPr>
          <w:sz w:val="24"/>
        </w:rPr>
        <w:t>balita</w:t>
      </w:r>
      <w:r>
        <w:rPr>
          <w:spacing w:val="-1"/>
          <w:sz w:val="24"/>
        </w:rPr>
        <w:t> </w:t>
      </w:r>
      <w:r>
        <w:rPr>
          <w:sz w:val="24"/>
        </w:rPr>
        <w:t>di Instalasi Rawat Inap RSUD Ajibarang. Penelitian ini menggunakan metode deskriptif dengan pengambilan data secara retrospektif. Sampel diperoleh dengan metode </w:t>
      </w:r>
      <w:r>
        <w:rPr>
          <w:i/>
          <w:sz w:val="24"/>
        </w:rPr>
        <w:t>purposive</w:t>
      </w:r>
      <w:r>
        <w:rPr>
          <w:i/>
          <w:sz w:val="24"/>
        </w:rPr>
        <w:t> sampling </w:t>
      </w:r>
      <w:r>
        <w:rPr>
          <w:sz w:val="24"/>
        </w:rPr>
        <w:t>pada pasien balita yang diagnosis pneumonia dan bronkopnuemonia yang dirawat inap pada tahun 2022, merupakan pasien umum yang mendapatkan terapi antibiotik dengan data rekam medis dan data pembiayaan yang lengkap, maka diperoleh sampel pada penelitian ini sebanyak 40 pasien. Hasil penelitian</w:t>
      </w:r>
      <w:r>
        <w:rPr>
          <w:spacing w:val="80"/>
          <w:sz w:val="24"/>
        </w:rPr>
        <w:t> </w:t>
      </w:r>
      <w:r>
        <w:rPr>
          <w:sz w:val="24"/>
        </w:rPr>
        <w:t>ini dikehatui profil penggunaan antibiotik pada pasien pneumonia balita yaitu antibiotik kombinasi Cefotaxime IV + Cefixime Ds syr (25%), sedangkan terapi antibiotik yang terendah adalah Ceftriaxone IV (2,5%), Ampicillin IV + Cefotaxime IV + Cefixime Ds syr (2,5%), Ampicillin IV + Cefotaxime IV + Cefixime</w:t>
      </w:r>
      <w:r>
        <w:rPr>
          <w:spacing w:val="-3"/>
          <w:sz w:val="24"/>
        </w:rPr>
        <w:t> </w:t>
      </w:r>
      <w:r>
        <w:rPr>
          <w:sz w:val="24"/>
        </w:rPr>
        <w:t>Caps</w:t>
      </w:r>
      <w:r>
        <w:rPr>
          <w:spacing w:val="-3"/>
          <w:sz w:val="24"/>
        </w:rPr>
        <w:t> </w:t>
      </w:r>
      <w:r>
        <w:rPr>
          <w:sz w:val="24"/>
        </w:rPr>
        <w:t>(2,5%),</w:t>
      </w:r>
      <w:r>
        <w:rPr>
          <w:spacing w:val="-2"/>
          <w:sz w:val="24"/>
        </w:rPr>
        <w:t> </w:t>
      </w:r>
      <w:r>
        <w:rPr>
          <w:sz w:val="24"/>
        </w:rPr>
        <w:t>Ampicillin</w:t>
      </w:r>
      <w:r>
        <w:rPr>
          <w:spacing w:val="-2"/>
          <w:sz w:val="24"/>
        </w:rPr>
        <w:t> </w:t>
      </w:r>
      <w:r>
        <w:rPr>
          <w:sz w:val="24"/>
        </w:rPr>
        <w:t>IV</w:t>
      </w:r>
      <w:r>
        <w:rPr>
          <w:spacing w:val="-4"/>
          <w:sz w:val="24"/>
        </w:rPr>
        <w:t> </w:t>
      </w:r>
      <w:r>
        <w:rPr>
          <w:sz w:val="24"/>
        </w:rPr>
        <w:t>+</w:t>
      </w:r>
      <w:r>
        <w:rPr>
          <w:spacing w:val="-3"/>
          <w:sz w:val="24"/>
        </w:rPr>
        <w:t> </w:t>
      </w:r>
      <w:r>
        <w:rPr>
          <w:sz w:val="24"/>
        </w:rPr>
        <w:t>Ceftriaxone</w:t>
      </w:r>
      <w:r>
        <w:rPr>
          <w:spacing w:val="-1"/>
          <w:sz w:val="24"/>
        </w:rPr>
        <w:t> </w:t>
      </w:r>
      <w:r>
        <w:rPr>
          <w:sz w:val="24"/>
        </w:rPr>
        <w:t>IV</w:t>
      </w:r>
      <w:r>
        <w:rPr>
          <w:spacing w:val="-3"/>
          <w:sz w:val="24"/>
        </w:rPr>
        <w:t> </w:t>
      </w:r>
      <w:r>
        <w:rPr>
          <w:sz w:val="24"/>
        </w:rPr>
        <w:t>+</w:t>
      </w:r>
      <w:r>
        <w:rPr>
          <w:spacing w:val="-3"/>
          <w:sz w:val="24"/>
        </w:rPr>
        <w:t> </w:t>
      </w:r>
      <w:r>
        <w:rPr>
          <w:sz w:val="24"/>
        </w:rPr>
        <w:t>Cefixime</w:t>
      </w:r>
      <w:r>
        <w:rPr>
          <w:spacing w:val="-3"/>
          <w:sz w:val="24"/>
        </w:rPr>
        <w:t> </w:t>
      </w:r>
      <w:r>
        <w:rPr>
          <w:sz w:val="24"/>
        </w:rPr>
        <w:t>Ds</w:t>
      </w:r>
      <w:r>
        <w:rPr>
          <w:spacing w:val="-3"/>
          <w:sz w:val="24"/>
        </w:rPr>
        <w:t> </w:t>
      </w:r>
      <w:r>
        <w:rPr>
          <w:sz w:val="24"/>
        </w:rPr>
        <w:t>syr</w:t>
      </w:r>
      <w:r>
        <w:rPr>
          <w:spacing w:val="-1"/>
          <w:sz w:val="24"/>
        </w:rPr>
        <w:t> </w:t>
      </w:r>
      <w:r>
        <w:rPr>
          <w:sz w:val="24"/>
        </w:rPr>
        <w:t>(2,5%), Cefotaxime IV + Ampicillin IV + Cefixime Ds syr (2,5%), Cefotaxime IV + Ceftriaxone</w:t>
      </w:r>
      <w:r>
        <w:rPr>
          <w:spacing w:val="-9"/>
          <w:sz w:val="24"/>
        </w:rPr>
        <w:t> </w:t>
      </w:r>
      <w:r>
        <w:rPr>
          <w:sz w:val="24"/>
        </w:rPr>
        <w:t>IV</w:t>
      </w:r>
      <w:r>
        <w:rPr>
          <w:spacing w:val="-9"/>
          <w:sz w:val="24"/>
        </w:rPr>
        <w:t> </w:t>
      </w:r>
      <w:r>
        <w:rPr>
          <w:sz w:val="24"/>
        </w:rPr>
        <w:t>(2,5%),</w:t>
      </w:r>
      <w:r>
        <w:rPr>
          <w:spacing w:val="-11"/>
          <w:sz w:val="24"/>
        </w:rPr>
        <w:t> </w:t>
      </w:r>
      <w:r>
        <w:rPr>
          <w:sz w:val="24"/>
        </w:rPr>
        <w:t>Ceftriaxone</w:t>
      </w:r>
      <w:r>
        <w:rPr>
          <w:spacing w:val="-9"/>
          <w:sz w:val="24"/>
        </w:rPr>
        <w:t> </w:t>
      </w:r>
      <w:r>
        <w:rPr>
          <w:sz w:val="24"/>
        </w:rPr>
        <w:t>IV</w:t>
      </w:r>
      <w:r>
        <w:rPr>
          <w:spacing w:val="-11"/>
          <w:sz w:val="24"/>
        </w:rPr>
        <w:t> </w:t>
      </w:r>
      <w:r>
        <w:rPr>
          <w:sz w:val="24"/>
        </w:rPr>
        <w:t>+</w:t>
      </w:r>
      <w:r>
        <w:rPr>
          <w:spacing w:val="-12"/>
          <w:sz w:val="24"/>
        </w:rPr>
        <w:t> </w:t>
      </w:r>
      <w:r>
        <w:rPr>
          <w:sz w:val="24"/>
        </w:rPr>
        <w:t>Cefixime</w:t>
      </w:r>
      <w:r>
        <w:rPr>
          <w:spacing w:val="-12"/>
          <w:sz w:val="24"/>
        </w:rPr>
        <w:t> </w:t>
      </w:r>
      <w:r>
        <w:rPr>
          <w:sz w:val="24"/>
        </w:rPr>
        <w:t>Ds</w:t>
      </w:r>
      <w:r>
        <w:rPr>
          <w:spacing w:val="-11"/>
          <w:sz w:val="24"/>
        </w:rPr>
        <w:t> </w:t>
      </w:r>
      <w:r>
        <w:rPr>
          <w:sz w:val="24"/>
        </w:rPr>
        <w:t>syr</w:t>
      </w:r>
      <w:r>
        <w:rPr>
          <w:spacing w:val="-11"/>
          <w:sz w:val="24"/>
        </w:rPr>
        <w:t> </w:t>
      </w:r>
      <w:r>
        <w:rPr>
          <w:sz w:val="24"/>
        </w:rPr>
        <w:t>+</w:t>
      </w:r>
      <w:r>
        <w:rPr>
          <w:spacing w:val="-12"/>
          <w:sz w:val="24"/>
        </w:rPr>
        <w:t> </w:t>
      </w:r>
      <w:r>
        <w:rPr>
          <w:sz w:val="24"/>
        </w:rPr>
        <w:t>Cefotaxime</w:t>
      </w:r>
      <w:r>
        <w:rPr>
          <w:spacing w:val="-9"/>
          <w:sz w:val="24"/>
        </w:rPr>
        <w:t> </w:t>
      </w:r>
      <w:r>
        <w:rPr>
          <w:sz w:val="24"/>
        </w:rPr>
        <w:t>IV</w:t>
      </w:r>
      <w:r>
        <w:rPr>
          <w:spacing w:val="-8"/>
          <w:sz w:val="24"/>
        </w:rPr>
        <w:t> </w:t>
      </w:r>
      <w:r>
        <w:rPr>
          <w:sz w:val="24"/>
        </w:rPr>
        <w:t>(2,5%). Hasil dari perhitungan nilai ACER diketahui antibiotik yang paling </w:t>
      </w:r>
      <w:r>
        <w:rPr>
          <w:i/>
          <w:sz w:val="24"/>
        </w:rPr>
        <w:t>cost-effective</w:t>
      </w:r>
      <w:r>
        <w:rPr>
          <w:i/>
          <w:sz w:val="24"/>
        </w:rPr>
        <w:t> </w:t>
      </w:r>
      <w:r>
        <w:rPr>
          <w:sz w:val="24"/>
        </w:rPr>
        <w:t>adalah Ceftriaxone IV dengan nilai ACER sebesar Rp. 967.037,-</w:t>
      </w:r>
    </w:p>
    <w:p>
      <w:pPr>
        <w:pStyle w:val="BodyText"/>
        <w:rPr>
          <w:i w:val="0"/>
          <w:sz w:val="26"/>
        </w:rPr>
      </w:pPr>
    </w:p>
    <w:p>
      <w:pPr>
        <w:pStyle w:val="BodyText"/>
        <w:spacing w:before="8"/>
        <w:rPr>
          <w:i w:val="0"/>
          <w:sz w:val="32"/>
        </w:rPr>
      </w:pPr>
    </w:p>
    <w:p>
      <w:pPr>
        <w:spacing w:before="0"/>
        <w:ind w:left="587" w:right="0" w:firstLine="0"/>
        <w:jc w:val="both"/>
        <w:rPr>
          <w:sz w:val="24"/>
        </w:rPr>
      </w:pPr>
      <w:r>
        <w:rPr>
          <w:b/>
          <w:sz w:val="24"/>
        </w:rPr>
        <w:t>Kata</w:t>
      </w:r>
      <w:r>
        <w:rPr>
          <w:b/>
          <w:spacing w:val="-7"/>
          <w:sz w:val="24"/>
        </w:rPr>
        <w:t> </w:t>
      </w:r>
      <w:r>
        <w:rPr>
          <w:b/>
          <w:sz w:val="24"/>
        </w:rPr>
        <w:t>kunci</w:t>
      </w:r>
      <w:r>
        <w:rPr>
          <w:b/>
          <w:spacing w:val="-4"/>
          <w:sz w:val="24"/>
        </w:rPr>
        <w:t> </w:t>
      </w:r>
      <w:r>
        <w:rPr>
          <w:sz w:val="24"/>
        </w:rPr>
        <w:t>:</w:t>
      </w:r>
      <w:r>
        <w:rPr>
          <w:spacing w:val="-4"/>
          <w:sz w:val="24"/>
        </w:rPr>
        <w:t> </w:t>
      </w:r>
      <w:r>
        <w:rPr>
          <w:sz w:val="24"/>
        </w:rPr>
        <w:t>Pneumonia,</w:t>
      </w:r>
      <w:r>
        <w:rPr>
          <w:spacing w:val="-5"/>
          <w:sz w:val="24"/>
        </w:rPr>
        <w:t> </w:t>
      </w:r>
      <w:r>
        <w:rPr>
          <w:sz w:val="24"/>
        </w:rPr>
        <w:t>Balita,</w:t>
      </w:r>
      <w:r>
        <w:rPr>
          <w:spacing w:val="-4"/>
          <w:sz w:val="24"/>
        </w:rPr>
        <w:t> </w:t>
      </w:r>
      <w:r>
        <w:rPr>
          <w:sz w:val="24"/>
        </w:rPr>
        <w:t>Antibiotik,</w:t>
      </w:r>
      <w:r>
        <w:rPr>
          <w:spacing w:val="-4"/>
          <w:sz w:val="24"/>
        </w:rPr>
        <w:t> </w:t>
      </w:r>
      <w:r>
        <w:rPr>
          <w:i/>
          <w:sz w:val="24"/>
        </w:rPr>
        <w:t>Cost-</w:t>
      </w:r>
      <w:r>
        <w:rPr>
          <w:i/>
          <w:spacing w:val="-2"/>
          <w:sz w:val="24"/>
        </w:rPr>
        <w:t>effective</w:t>
      </w:r>
      <w:r>
        <w:rPr>
          <w:spacing w:val="-2"/>
          <w:sz w:val="24"/>
        </w:rPr>
        <w:t>,ACER,ICER</w:t>
      </w:r>
    </w:p>
    <w:sectPr>
      <w:pgSz w:w="11910" w:h="16840"/>
      <w:pgMar w:header="0" w:footer="1060" w:top="1920" w:bottom="1240" w:left="168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shapetype id="_x0000_t202" o:spt="202" coordsize="21600,21600" path="m,l,21600r21600,l21600,xe">
          <v:stroke joinstyle="miter"/>
          <v:path gradientshapeok="t" o:connecttype="rect"/>
        </v:shapetype>
        <v:shape style="position:absolute;margin-left:300.85199pt;margin-top:777.912659pt;width:23.1pt;height:15.3pt;mso-position-horizontal-relative:page;mso-position-vertical-relative:page;z-index:-15758336" type="#_x0000_t202" id="docshape1" filled="false" stroked="false">
          <v:textbox inset="0,0,0,0">
            <w:txbxContent>
              <w:p>
                <w:pPr>
                  <w:spacing w:before="10"/>
                  <w:ind w:left="60" w:right="0" w:firstLine="0"/>
                  <w:jc w:val="left"/>
                  <w:rPr>
                    <w:sz w:val="24"/>
                  </w:rPr>
                </w:pPr>
                <w:r>
                  <w:rPr>
                    <w:spacing w:val="-4"/>
                    <w:sz w:val="24"/>
                  </w:rPr>
                  <w:fldChar w:fldCharType="begin"/>
                </w:r>
                <w:r>
                  <w:rPr>
                    <w:spacing w:val="-4"/>
                    <w:sz w:val="24"/>
                  </w:rPr>
                  <w:instrText> PAGE  \* roman </w:instrText>
                </w:r>
                <w:r>
                  <w:rPr>
                    <w:spacing w:val="-4"/>
                    <w:sz w:val="24"/>
                  </w:rPr>
                  <w:fldChar w:fldCharType="separate"/>
                </w:r>
                <w:r>
                  <w:rPr>
                    <w:spacing w:val="-4"/>
                    <w:sz w:val="24"/>
                  </w:rPr>
                  <w:t>viii</w:t>
                </w:r>
                <w:r>
                  <w:rPr>
                    <w:spacing w:val="-4"/>
                    <w:sz w:val="24"/>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i/>
      <w:i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nuroktiarfiani2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2023-09-16T01:22:09Z</dcterms:created>
  <dcterms:modified xsi:type="dcterms:W3CDTF">2023-09-16T01:22:09Z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2023-09-16T00:00:00Z</vt:filetime>
  </property>
  <property fmtid="{D5CDD505-2E9C-101B-9397-08002B2CF9AE}" pid="3" name="LastSaved">
    <vt:filetime>2023-09-16T00:00:00Z</vt:filetime>
  </property>
  <property fmtid="{D5CDD505-2E9C-101B-9397-08002B2CF9AE}" pid="4" name="Producer">
    <vt:lpwstr>Foxit PDF Editor Printer Version 12.1.0.15345</vt:lpwstr>
  </property>
</Properties>
</file>