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2"/>
        </w:rPr>
        <w:t>ABSTRAK</w:t>
      </w:r>
    </w:p>
    <w:p>
      <w:pPr>
        <w:pStyle w:val="BodyText"/>
        <w:spacing w:before="115"/>
        <w:ind w:right="91" w:firstLine="570"/>
        <w:jc w:val="both"/>
      </w:pPr>
      <w:r>
        <w:rPr/>
        <w:t>Penelitian ini bertujuan untuk menganalisis pengaruh kepemilikan pemerintah dan</w:t>
      </w:r>
      <w:r>
        <w:rPr>
          <w:spacing w:val="-1"/>
        </w:rPr>
        <w:t> </w:t>
      </w:r>
      <w:r>
        <w:rPr/>
        <w:t>penghindaran pajak terhadap biaya utang pada perusahaan Badan Usaha Milik Negara (BUMN). Penelitian ini menggunakan dua variabel independen, yaitu kepemilikan pemerintah yang diproksikan dengan rasio jumlah saham yang dimiliki pemerintah terhadap total saham beredar, dan penghindaran pajak yang</w:t>
      </w:r>
      <w:r>
        <w:rPr>
          <w:spacing w:val="-15"/>
        </w:rPr>
        <w:t> </w:t>
      </w:r>
      <w:r>
        <w:rPr/>
        <w:t>diproksikan</w:t>
      </w:r>
      <w:r>
        <w:rPr>
          <w:spacing w:val="-15"/>
        </w:rPr>
        <w:t> </w:t>
      </w:r>
      <w:r>
        <w:rPr/>
        <w:t>dengan</w:t>
      </w:r>
      <w:r>
        <w:rPr>
          <w:spacing w:val="-15"/>
        </w:rPr>
        <w:t> </w:t>
      </w:r>
      <w:r>
        <w:rPr>
          <w:i/>
        </w:rPr>
        <w:t>Effective</w:t>
      </w:r>
      <w:r>
        <w:rPr>
          <w:i/>
          <w:spacing w:val="-3"/>
        </w:rPr>
        <w:t> </w:t>
      </w:r>
      <w:r>
        <w:rPr>
          <w:i/>
        </w:rPr>
        <w:t>Tax Rate </w:t>
      </w:r>
      <w:r>
        <w:rPr/>
        <w:t>(ETR),</w:t>
      </w:r>
      <w:r>
        <w:rPr>
          <w:spacing w:val="27"/>
        </w:rPr>
        <w:t> </w:t>
      </w:r>
      <w:r>
        <w:rPr/>
        <w:t>yaitu</w:t>
      </w:r>
      <w:r>
        <w:rPr>
          <w:spacing w:val="-14"/>
        </w:rPr>
        <w:t> </w:t>
      </w:r>
      <w:r>
        <w:rPr/>
        <w:t>beban</w:t>
      </w:r>
      <w:r>
        <w:rPr>
          <w:spacing w:val="-15"/>
        </w:rPr>
        <w:t> </w:t>
      </w:r>
      <w:r>
        <w:rPr/>
        <w:t>pajak dibagi dengan laba sebelum pajak. Variabel dependen dalam penelitian ini adalah biaya utang yang diproksikan dengan rasio antara beban bunga dan total utang (</w:t>
      </w:r>
      <w:r>
        <w:rPr>
          <w:i/>
        </w:rPr>
        <w:t>Cost of Debt</w:t>
      </w:r>
      <w:r>
        <w:rPr/>
        <w:t>). Populasi dalam penelitian ini adalah seluruh perusahaan BUMN yang terdaftar</w:t>
      </w:r>
      <w:r>
        <w:rPr>
          <w:spacing w:val="-8"/>
        </w:rPr>
        <w:t> </w:t>
      </w:r>
      <w:r>
        <w:rPr/>
        <w:t>di</w:t>
      </w:r>
      <w:r>
        <w:rPr>
          <w:spacing w:val="-11"/>
        </w:rPr>
        <w:t> </w:t>
      </w:r>
      <w:r>
        <w:rPr/>
        <w:t>Bursa</w:t>
      </w:r>
      <w:r>
        <w:rPr>
          <w:spacing w:val="-5"/>
        </w:rPr>
        <w:t> </w:t>
      </w:r>
      <w:r>
        <w:rPr/>
        <w:t>Efek</w:t>
      </w:r>
      <w:r>
        <w:rPr>
          <w:spacing w:val="-4"/>
        </w:rPr>
        <w:t> </w:t>
      </w:r>
      <w:r>
        <w:rPr/>
        <w:t>Indonesia</w:t>
      </w:r>
      <w:r>
        <w:rPr>
          <w:spacing w:val="-4"/>
        </w:rPr>
        <w:t> </w:t>
      </w:r>
      <w:r>
        <w:rPr/>
        <w:t>(BEI)</w:t>
      </w:r>
      <w:r>
        <w:rPr>
          <w:spacing w:val="-8"/>
        </w:rPr>
        <w:t> </w:t>
      </w:r>
      <w:r>
        <w:rPr/>
        <w:t>periode</w:t>
      </w:r>
      <w:r>
        <w:rPr>
          <w:spacing w:val="-5"/>
        </w:rPr>
        <w:t> </w:t>
      </w:r>
      <w:r>
        <w:rPr/>
        <w:t>2019–2022. Teknik</w:t>
      </w:r>
      <w:r>
        <w:rPr>
          <w:spacing w:val="-4"/>
        </w:rPr>
        <w:t> </w:t>
      </w:r>
      <w:r>
        <w:rPr/>
        <w:t>sampling yang digunakan</w:t>
      </w:r>
      <w:r>
        <w:rPr>
          <w:spacing w:val="-13"/>
        </w:rPr>
        <w:t> </w:t>
      </w:r>
      <w:r>
        <w:rPr/>
        <w:t>adalah</w:t>
      </w:r>
      <w:r>
        <w:rPr>
          <w:spacing w:val="-13"/>
        </w:rPr>
        <w:t> </w:t>
      </w:r>
      <w:r>
        <w:rPr/>
        <w:t>purposive</w:t>
      </w:r>
      <w:r>
        <w:rPr>
          <w:spacing w:val="32"/>
        </w:rPr>
        <w:t> </w:t>
      </w:r>
      <w:r>
        <w:rPr/>
        <w:t>sampling dengan total</w:t>
      </w:r>
      <w:r>
        <w:rPr>
          <w:spacing w:val="-5"/>
        </w:rPr>
        <w:t> </w:t>
      </w:r>
      <w:r>
        <w:rPr/>
        <w:t>19 perusahaan yang memenuhi kriteria selama</w:t>
      </w:r>
      <w:r>
        <w:rPr>
          <w:spacing w:val="-1"/>
        </w:rPr>
        <w:t> </w:t>
      </w:r>
      <w:r>
        <w:rPr/>
        <w:t>empat tahun</w:t>
      </w:r>
      <w:r>
        <w:rPr>
          <w:spacing w:val="-15"/>
        </w:rPr>
        <w:t> </w:t>
      </w:r>
      <w:r>
        <w:rPr/>
        <w:t>pengamatan, sehingga diperoleh</w:t>
      </w:r>
      <w:r>
        <w:rPr>
          <w:spacing w:val="-15"/>
        </w:rPr>
        <w:t> </w:t>
      </w:r>
      <w:r>
        <w:rPr/>
        <w:t>76 observasi. Metode analisis yang digunakan adalah regresi data panel. Hasil penelitian menunjukkan bahwa kepemilikan pemerintah berpengaruh signifikan terhadap biaya utang, sedangkan</w:t>
      </w:r>
      <w:r>
        <w:rPr>
          <w:spacing w:val="-13"/>
        </w:rPr>
        <w:t> </w:t>
      </w:r>
      <w:r>
        <w:rPr/>
        <w:t>penghindaran pajak tidak berpengaruh signifikan terhadap biaya</w:t>
      </w:r>
      <w:r>
        <w:rPr>
          <w:spacing w:val="30"/>
        </w:rPr>
        <w:t> </w:t>
      </w:r>
      <w:r>
        <w:rPr/>
        <w:t>uta</w:t>
      </w:r>
      <w:r>
        <w:rPr>
          <w:spacing w:val="-15"/>
        </w:rPr>
        <w:t> </w:t>
      </w:r>
      <w:r>
        <w:rPr/>
        <w:t>ng pada perusahaan</w:t>
      </w:r>
      <w:r>
        <w:rPr>
          <w:spacing w:val="80"/>
        </w:rPr>
        <w:t> </w:t>
      </w:r>
      <w:r>
        <w:rPr/>
        <w:t>BUMN.</w:t>
      </w:r>
    </w:p>
    <w:p>
      <w:pPr>
        <w:pStyle w:val="BodyText"/>
        <w:spacing w:line="273" w:lineRule="exact" w:before="178"/>
      </w:pPr>
      <w:r>
        <w:rPr>
          <w:b/>
          <w:spacing w:val="-4"/>
        </w:rPr>
        <w:t>Kata</w:t>
      </w:r>
      <w:r>
        <w:rPr>
          <w:b/>
          <w:spacing w:val="-17"/>
        </w:rPr>
        <w:t> </w:t>
      </w:r>
      <w:r>
        <w:rPr>
          <w:b/>
          <w:spacing w:val="-4"/>
        </w:rPr>
        <w:t>Kunci:</w:t>
      </w:r>
      <w:r>
        <w:rPr>
          <w:b/>
          <w:spacing w:val="5"/>
        </w:rPr>
        <w:t> </w:t>
      </w:r>
      <w:r>
        <w:rPr>
          <w:spacing w:val="-4"/>
        </w:rPr>
        <w:t>Kepemilikan</w:t>
      </w:r>
      <w:r>
        <w:rPr>
          <w:spacing w:val="36"/>
        </w:rPr>
        <w:t> </w:t>
      </w:r>
      <w:r>
        <w:rPr>
          <w:spacing w:val="-4"/>
        </w:rPr>
        <w:t>Pemerintah,</w:t>
      </w:r>
      <w:r>
        <w:rPr>
          <w:spacing w:val="57"/>
        </w:rPr>
        <w:t> </w:t>
      </w:r>
      <w:r>
        <w:rPr>
          <w:spacing w:val="-4"/>
        </w:rPr>
        <w:t>Penghindaran</w:t>
      </w:r>
      <w:r>
        <w:rPr>
          <w:spacing w:val="34"/>
        </w:rPr>
        <w:t> </w:t>
      </w:r>
      <w:r>
        <w:rPr>
          <w:spacing w:val="-4"/>
        </w:rPr>
        <w:t>Pajak,</w:t>
      </w:r>
      <w:r>
        <w:rPr>
          <w:spacing w:val="-15"/>
        </w:rPr>
        <w:t> </w:t>
      </w:r>
      <w:r>
        <w:rPr>
          <w:spacing w:val="-4"/>
        </w:rPr>
        <w:t>Biaya</w:t>
      </w:r>
      <w:r>
        <w:rPr>
          <w:spacing w:val="19"/>
        </w:rPr>
        <w:t> </w:t>
      </w:r>
      <w:r>
        <w:rPr>
          <w:spacing w:val="-4"/>
        </w:rPr>
        <w:t>Utang,</w:t>
      </w:r>
      <w:r>
        <w:rPr>
          <w:spacing w:val="23"/>
        </w:rPr>
        <w:t> </w:t>
      </w:r>
      <w:r>
        <w:rPr>
          <w:spacing w:val="-4"/>
        </w:rPr>
        <w:t>BUMN,</w:t>
      </w:r>
    </w:p>
    <w:p>
      <w:pPr>
        <w:spacing w:line="273" w:lineRule="exact" w:before="0"/>
        <w:ind w:left="568" w:right="0" w:firstLine="0"/>
        <w:jc w:val="left"/>
        <w:rPr>
          <w:i/>
          <w:sz w:val="24"/>
        </w:rPr>
      </w:pPr>
      <w:r>
        <w:rPr>
          <w:i/>
          <w:sz w:val="24"/>
        </w:rPr>
        <w:t>Cost</w:t>
      </w:r>
      <w:r>
        <w:rPr>
          <w:i/>
          <w:spacing w:val="-8"/>
          <w:sz w:val="24"/>
        </w:rPr>
        <w:t> </w:t>
      </w:r>
      <w:r>
        <w:rPr>
          <w:i/>
          <w:sz w:val="24"/>
        </w:rPr>
        <w:t>of</w:t>
      </w:r>
      <w:r>
        <w:rPr>
          <w:i/>
          <w:spacing w:val="8"/>
          <w:sz w:val="24"/>
        </w:rPr>
        <w:t> </w:t>
      </w:r>
      <w:r>
        <w:rPr>
          <w:i/>
          <w:spacing w:val="-4"/>
          <w:sz w:val="24"/>
        </w:rPr>
        <w:t>Debt</w:t>
      </w:r>
    </w:p>
    <w:p>
      <w:pPr>
        <w:spacing w:after="0" w:line="273" w:lineRule="exact"/>
        <w:jc w:val="left"/>
        <w:rPr>
          <w:i/>
          <w:sz w:val="24"/>
        </w:rPr>
        <w:sectPr>
          <w:footerReference w:type="default" r:id="rId5"/>
          <w:type w:val="continuous"/>
          <w:pgSz w:w="11910" w:h="16850"/>
          <w:pgMar w:header="0" w:footer="1020" w:top="1580" w:bottom="1220" w:left="1700" w:right="1559"/>
          <w:pgNumType w:start="7"/>
        </w:sectPr>
      </w:pPr>
    </w:p>
    <w:p>
      <w:pPr>
        <w:spacing w:before="67"/>
        <w:ind w:left="419" w:right="11" w:firstLine="0"/>
        <w:jc w:val="center"/>
        <w:rPr>
          <w:b/>
          <w:i/>
          <w:sz w:val="24"/>
        </w:rPr>
      </w:pPr>
      <w:r>
        <w:rPr>
          <w:b/>
          <w:i/>
          <w:spacing w:val="-2"/>
          <w:sz w:val="24"/>
        </w:rPr>
        <w:t>ABSTRACT</w:t>
      </w:r>
    </w:p>
    <w:p>
      <w:pPr>
        <w:spacing w:line="259" w:lineRule="auto" w:before="115"/>
        <w:ind w:left="568" w:right="91" w:firstLine="0"/>
        <w:jc w:val="both"/>
        <w:rPr>
          <w:i/>
          <w:sz w:val="24"/>
        </w:rPr>
      </w:pPr>
      <w:r>
        <w:rPr>
          <w:i/>
          <w:sz w:val="24"/>
        </w:rPr>
        <w:t>This study aims to analyze the effect of government ownership and tax avoidance on</w:t>
      </w:r>
      <w:r>
        <w:rPr>
          <w:i/>
          <w:spacing w:val="-3"/>
          <w:sz w:val="24"/>
        </w:rPr>
        <w:t> </w:t>
      </w:r>
      <w:r>
        <w:rPr>
          <w:i/>
          <w:sz w:val="24"/>
        </w:rPr>
        <w:t>the</w:t>
      </w:r>
      <w:r>
        <w:rPr>
          <w:i/>
          <w:spacing w:val="-4"/>
          <w:sz w:val="24"/>
        </w:rPr>
        <w:t> </w:t>
      </w:r>
      <w:r>
        <w:rPr>
          <w:i/>
          <w:sz w:val="24"/>
        </w:rPr>
        <w:t>cost of debt in</w:t>
      </w:r>
      <w:r>
        <w:rPr>
          <w:i/>
          <w:spacing w:val="-3"/>
          <w:sz w:val="24"/>
        </w:rPr>
        <w:t> </w:t>
      </w:r>
      <w:r>
        <w:rPr>
          <w:i/>
          <w:sz w:val="24"/>
        </w:rPr>
        <w:t>State-Owned</w:t>
      </w:r>
      <w:r>
        <w:rPr>
          <w:i/>
          <w:spacing w:val="-3"/>
          <w:sz w:val="24"/>
        </w:rPr>
        <w:t> </w:t>
      </w:r>
      <w:r>
        <w:rPr>
          <w:i/>
          <w:sz w:val="24"/>
        </w:rPr>
        <w:t>Enterprises</w:t>
      </w:r>
      <w:r>
        <w:rPr>
          <w:i/>
          <w:spacing w:val="-3"/>
          <w:sz w:val="24"/>
        </w:rPr>
        <w:t> </w:t>
      </w:r>
      <w:r>
        <w:rPr>
          <w:i/>
          <w:sz w:val="24"/>
        </w:rPr>
        <w:t>(SOEs). This research employs two independent variables: government ownership, which is proxied by the ratio of shares</w:t>
      </w:r>
      <w:r>
        <w:rPr>
          <w:i/>
          <w:spacing w:val="-15"/>
          <w:sz w:val="24"/>
        </w:rPr>
        <w:t> </w:t>
      </w:r>
      <w:r>
        <w:rPr>
          <w:i/>
          <w:sz w:val="24"/>
        </w:rPr>
        <w:t>owned</w:t>
      </w:r>
      <w:r>
        <w:rPr>
          <w:i/>
          <w:spacing w:val="-15"/>
          <w:sz w:val="24"/>
        </w:rPr>
        <w:t> </w:t>
      </w:r>
      <w:r>
        <w:rPr>
          <w:i/>
          <w:sz w:val="24"/>
        </w:rPr>
        <w:t>by</w:t>
      </w:r>
      <w:r>
        <w:rPr>
          <w:i/>
          <w:spacing w:val="-8"/>
          <w:sz w:val="24"/>
        </w:rPr>
        <w:t> </w:t>
      </w:r>
      <w:r>
        <w:rPr>
          <w:i/>
          <w:sz w:val="24"/>
        </w:rPr>
        <w:t>the</w:t>
      </w:r>
      <w:r>
        <w:rPr>
          <w:i/>
          <w:spacing w:val="-15"/>
          <w:sz w:val="24"/>
        </w:rPr>
        <w:t> </w:t>
      </w:r>
      <w:r>
        <w:rPr>
          <w:i/>
          <w:sz w:val="24"/>
        </w:rPr>
        <w:t>government</w:t>
      </w:r>
      <w:r>
        <w:rPr>
          <w:i/>
          <w:spacing w:val="11"/>
          <w:sz w:val="24"/>
        </w:rPr>
        <w:t> </w:t>
      </w:r>
      <w:r>
        <w:rPr>
          <w:i/>
          <w:sz w:val="24"/>
        </w:rPr>
        <w:t>to</w:t>
      </w:r>
      <w:r>
        <w:rPr>
          <w:i/>
          <w:spacing w:val="-15"/>
          <w:sz w:val="24"/>
        </w:rPr>
        <w:t> </w:t>
      </w:r>
      <w:r>
        <w:rPr>
          <w:i/>
          <w:sz w:val="24"/>
        </w:rPr>
        <w:t>the</w:t>
      </w:r>
      <w:r>
        <w:rPr>
          <w:i/>
          <w:spacing w:val="-15"/>
          <w:sz w:val="24"/>
        </w:rPr>
        <w:t> </w:t>
      </w:r>
      <w:r>
        <w:rPr>
          <w:i/>
          <w:sz w:val="24"/>
        </w:rPr>
        <w:t>total</w:t>
      </w:r>
      <w:r>
        <w:rPr>
          <w:i/>
          <w:spacing w:val="-15"/>
          <w:sz w:val="24"/>
        </w:rPr>
        <w:t> </w:t>
      </w:r>
      <w:r>
        <w:rPr>
          <w:i/>
          <w:sz w:val="24"/>
        </w:rPr>
        <w:t>outstanding</w:t>
      </w:r>
      <w:r>
        <w:rPr>
          <w:i/>
          <w:spacing w:val="-14"/>
          <w:sz w:val="24"/>
        </w:rPr>
        <w:t> </w:t>
      </w:r>
      <w:r>
        <w:rPr>
          <w:i/>
          <w:sz w:val="24"/>
        </w:rPr>
        <w:t>shares,</w:t>
      </w:r>
      <w:r>
        <w:rPr>
          <w:i/>
          <w:spacing w:val="-15"/>
          <w:sz w:val="24"/>
        </w:rPr>
        <w:t> </w:t>
      </w:r>
      <w:r>
        <w:rPr>
          <w:i/>
          <w:sz w:val="24"/>
        </w:rPr>
        <w:t>and</w:t>
      </w:r>
      <w:r>
        <w:rPr>
          <w:i/>
          <w:spacing w:val="-15"/>
          <w:sz w:val="24"/>
        </w:rPr>
        <w:t> </w:t>
      </w:r>
      <w:r>
        <w:rPr>
          <w:i/>
          <w:sz w:val="24"/>
        </w:rPr>
        <w:t>tax</w:t>
      </w:r>
      <w:r>
        <w:rPr>
          <w:i/>
          <w:spacing w:val="14"/>
          <w:sz w:val="24"/>
        </w:rPr>
        <w:t> </w:t>
      </w:r>
      <w:r>
        <w:rPr>
          <w:i/>
          <w:sz w:val="24"/>
        </w:rPr>
        <w:t>avoidance, which</w:t>
      </w:r>
      <w:r>
        <w:rPr>
          <w:i/>
          <w:spacing w:val="-15"/>
          <w:sz w:val="24"/>
        </w:rPr>
        <w:t> </w:t>
      </w:r>
      <w:r>
        <w:rPr>
          <w:i/>
          <w:sz w:val="24"/>
        </w:rPr>
        <w:t>is</w:t>
      </w:r>
      <w:r>
        <w:rPr>
          <w:i/>
          <w:spacing w:val="-10"/>
          <w:sz w:val="24"/>
        </w:rPr>
        <w:t> </w:t>
      </w:r>
      <w:r>
        <w:rPr>
          <w:i/>
          <w:sz w:val="24"/>
        </w:rPr>
        <w:t>proxied</w:t>
      </w:r>
      <w:r>
        <w:rPr>
          <w:i/>
          <w:spacing w:val="-2"/>
          <w:sz w:val="24"/>
        </w:rPr>
        <w:t> </w:t>
      </w:r>
      <w:r>
        <w:rPr>
          <w:i/>
          <w:sz w:val="24"/>
        </w:rPr>
        <w:t>by</w:t>
      </w:r>
      <w:r>
        <w:rPr>
          <w:i/>
          <w:spacing w:val="-2"/>
          <w:sz w:val="24"/>
        </w:rPr>
        <w:t> </w:t>
      </w:r>
      <w:r>
        <w:rPr>
          <w:i/>
          <w:sz w:val="24"/>
        </w:rPr>
        <w:t>the</w:t>
      </w:r>
      <w:r>
        <w:rPr>
          <w:i/>
          <w:spacing w:val="-15"/>
          <w:sz w:val="24"/>
        </w:rPr>
        <w:t> </w:t>
      </w:r>
      <w:r>
        <w:rPr>
          <w:i/>
          <w:sz w:val="24"/>
        </w:rPr>
        <w:t>Effective</w:t>
      </w:r>
      <w:r>
        <w:rPr>
          <w:i/>
          <w:spacing w:val="-15"/>
          <w:sz w:val="24"/>
        </w:rPr>
        <w:t> </w:t>
      </w:r>
      <w:r>
        <w:rPr>
          <w:i/>
          <w:sz w:val="24"/>
        </w:rPr>
        <w:t>Tax Rate</w:t>
      </w:r>
      <w:r>
        <w:rPr>
          <w:i/>
          <w:spacing w:val="-15"/>
          <w:sz w:val="24"/>
        </w:rPr>
        <w:t> </w:t>
      </w:r>
      <w:r>
        <w:rPr>
          <w:i/>
          <w:sz w:val="24"/>
        </w:rPr>
        <w:t>(ETR),</w:t>
      </w:r>
      <w:r>
        <w:rPr>
          <w:i/>
          <w:spacing w:val="-15"/>
          <w:sz w:val="24"/>
        </w:rPr>
        <w:t> </w:t>
      </w:r>
      <w:r>
        <w:rPr>
          <w:i/>
          <w:sz w:val="24"/>
        </w:rPr>
        <w:t>calculated</w:t>
      </w:r>
      <w:r>
        <w:rPr>
          <w:i/>
          <w:spacing w:val="-1"/>
          <w:sz w:val="24"/>
        </w:rPr>
        <w:t> </w:t>
      </w:r>
      <w:r>
        <w:rPr>
          <w:i/>
          <w:sz w:val="24"/>
        </w:rPr>
        <w:t>as</w:t>
      </w:r>
      <w:r>
        <w:rPr>
          <w:i/>
          <w:spacing w:val="-5"/>
          <w:sz w:val="24"/>
        </w:rPr>
        <w:t> </w:t>
      </w:r>
      <w:r>
        <w:rPr>
          <w:i/>
          <w:sz w:val="24"/>
        </w:rPr>
        <w:t>tax expense</w:t>
      </w:r>
      <w:r>
        <w:rPr>
          <w:i/>
          <w:spacing w:val="-4"/>
          <w:sz w:val="24"/>
        </w:rPr>
        <w:t> </w:t>
      </w:r>
      <w:r>
        <w:rPr>
          <w:i/>
          <w:sz w:val="24"/>
        </w:rPr>
        <w:t>divided by earnings before tax. The dependent variable in this study is the cost of debt, proxied by the ratio of interest expense to total debt. The population in this study consists of all SOEs listed on the Indonesia Stock Exchange (IDX) for the 2019– 2022 period. The sampling technique used is purposive sampling, resulting in a total</w:t>
      </w:r>
      <w:r>
        <w:rPr>
          <w:i/>
          <w:spacing w:val="-15"/>
          <w:sz w:val="24"/>
        </w:rPr>
        <w:t> </w:t>
      </w:r>
      <w:r>
        <w:rPr>
          <w:i/>
          <w:sz w:val="24"/>
        </w:rPr>
        <w:t>of</w:t>
      </w:r>
      <w:r>
        <w:rPr>
          <w:i/>
          <w:spacing w:val="-15"/>
          <w:sz w:val="24"/>
        </w:rPr>
        <w:t> </w:t>
      </w:r>
      <w:r>
        <w:rPr>
          <w:i/>
          <w:sz w:val="24"/>
        </w:rPr>
        <w:t>19</w:t>
      </w:r>
      <w:r>
        <w:rPr>
          <w:i/>
          <w:spacing w:val="-15"/>
          <w:sz w:val="24"/>
        </w:rPr>
        <w:t> </w:t>
      </w:r>
      <w:r>
        <w:rPr>
          <w:i/>
          <w:sz w:val="24"/>
        </w:rPr>
        <w:t>companies</w:t>
      </w:r>
      <w:r>
        <w:rPr>
          <w:i/>
          <w:spacing w:val="-15"/>
          <w:sz w:val="24"/>
        </w:rPr>
        <w:t> </w:t>
      </w:r>
      <w:r>
        <w:rPr>
          <w:i/>
          <w:sz w:val="24"/>
        </w:rPr>
        <w:t>that</w:t>
      </w:r>
      <w:r>
        <w:rPr>
          <w:i/>
          <w:spacing w:val="-11"/>
          <w:sz w:val="24"/>
        </w:rPr>
        <w:t> </w:t>
      </w:r>
      <w:r>
        <w:rPr>
          <w:i/>
          <w:sz w:val="24"/>
        </w:rPr>
        <w:t>met</w:t>
      </w:r>
      <w:r>
        <w:rPr>
          <w:i/>
          <w:spacing w:val="-5"/>
          <w:sz w:val="24"/>
        </w:rPr>
        <w:t> </w:t>
      </w:r>
      <w:r>
        <w:rPr>
          <w:i/>
          <w:sz w:val="24"/>
        </w:rPr>
        <w:t>the</w:t>
      </w:r>
      <w:r>
        <w:rPr>
          <w:i/>
          <w:spacing w:val="-15"/>
          <w:sz w:val="24"/>
        </w:rPr>
        <w:t> </w:t>
      </w:r>
      <w:r>
        <w:rPr>
          <w:i/>
          <w:sz w:val="24"/>
        </w:rPr>
        <w:t>criteria</w:t>
      </w:r>
      <w:r>
        <w:rPr>
          <w:i/>
          <w:spacing w:val="-14"/>
          <w:sz w:val="24"/>
        </w:rPr>
        <w:t> </w:t>
      </w:r>
      <w:r>
        <w:rPr>
          <w:i/>
          <w:sz w:val="24"/>
        </w:rPr>
        <w:t>over</w:t>
      </w:r>
      <w:r>
        <w:rPr>
          <w:i/>
          <w:spacing w:val="-15"/>
          <w:sz w:val="24"/>
        </w:rPr>
        <w:t> </w:t>
      </w:r>
      <w:r>
        <w:rPr>
          <w:i/>
          <w:sz w:val="24"/>
        </w:rPr>
        <w:t>four</w:t>
      </w:r>
      <w:r>
        <w:rPr>
          <w:i/>
          <w:spacing w:val="-15"/>
          <w:sz w:val="24"/>
        </w:rPr>
        <w:t> </w:t>
      </w:r>
      <w:r>
        <w:rPr>
          <w:i/>
          <w:sz w:val="24"/>
        </w:rPr>
        <w:t>years</w:t>
      </w:r>
      <w:r>
        <w:rPr>
          <w:i/>
          <w:spacing w:val="-15"/>
          <w:sz w:val="24"/>
        </w:rPr>
        <w:t> </w:t>
      </w:r>
      <w:r>
        <w:rPr>
          <w:i/>
          <w:sz w:val="24"/>
        </w:rPr>
        <w:t>of</w:t>
      </w:r>
      <w:r>
        <w:rPr>
          <w:i/>
          <w:spacing w:val="-7"/>
          <w:sz w:val="24"/>
        </w:rPr>
        <w:t> </w:t>
      </w:r>
      <w:r>
        <w:rPr>
          <w:i/>
          <w:sz w:val="24"/>
        </w:rPr>
        <w:t>observation,</w:t>
      </w:r>
      <w:r>
        <w:rPr>
          <w:i/>
          <w:spacing w:val="-13"/>
          <w:sz w:val="24"/>
        </w:rPr>
        <w:t> </w:t>
      </w:r>
      <w:r>
        <w:rPr>
          <w:i/>
          <w:sz w:val="24"/>
        </w:rPr>
        <w:t>producing 76 observations. The analysis method used is panel data regression. The results show</w:t>
      </w:r>
      <w:r>
        <w:rPr>
          <w:i/>
          <w:spacing w:val="-5"/>
          <w:sz w:val="24"/>
        </w:rPr>
        <w:t> </w:t>
      </w:r>
      <w:r>
        <w:rPr>
          <w:i/>
          <w:sz w:val="24"/>
        </w:rPr>
        <w:t>that government ownership has</w:t>
      </w:r>
      <w:r>
        <w:rPr>
          <w:i/>
          <w:spacing w:val="-15"/>
          <w:sz w:val="24"/>
        </w:rPr>
        <w:t> </w:t>
      </w:r>
      <w:r>
        <w:rPr>
          <w:i/>
          <w:sz w:val="24"/>
        </w:rPr>
        <w:t>a</w:t>
      </w:r>
      <w:r>
        <w:rPr>
          <w:i/>
          <w:spacing w:val="-4"/>
          <w:sz w:val="24"/>
        </w:rPr>
        <w:t> </w:t>
      </w:r>
      <w:r>
        <w:rPr>
          <w:i/>
          <w:sz w:val="24"/>
        </w:rPr>
        <w:t>positive</w:t>
      </w:r>
      <w:r>
        <w:rPr>
          <w:i/>
          <w:spacing w:val="-5"/>
          <w:sz w:val="24"/>
        </w:rPr>
        <w:t> </w:t>
      </w:r>
      <w:r>
        <w:rPr>
          <w:i/>
          <w:sz w:val="24"/>
        </w:rPr>
        <w:t>and</w:t>
      </w:r>
      <w:r>
        <w:rPr>
          <w:i/>
          <w:spacing w:val="-4"/>
          <w:sz w:val="24"/>
        </w:rPr>
        <w:t> </w:t>
      </w:r>
      <w:r>
        <w:rPr>
          <w:i/>
          <w:sz w:val="24"/>
        </w:rPr>
        <w:t>significant effect on the</w:t>
      </w:r>
      <w:r>
        <w:rPr>
          <w:i/>
          <w:spacing w:val="-5"/>
          <w:sz w:val="24"/>
        </w:rPr>
        <w:t> </w:t>
      </w:r>
      <w:r>
        <w:rPr>
          <w:i/>
          <w:sz w:val="24"/>
        </w:rPr>
        <w:t>cost</w:t>
      </w:r>
      <w:r>
        <w:rPr>
          <w:i/>
          <w:spacing w:val="-11"/>
          <w:sz w:val="24"/>
        </w:rPr>
        <w:t> </w:t>
      </w:r>
      <w:r>
        <w:rPr>
          <w:i/>
          <w:sz w:val="24"/>
        </w:rPr>
        <w:t>of debt, while tax avoidance does not have a significant effect on the cost of debt in </w:t>
      </w:r>
      <w:r>
        <w:rPr>
          <w:i/>
          <w:spacing w:val="-2"/>
          <w:sz w:val="24"/>
        </w:rPr>
        <w:t>SOEs.</w:t>
      </w:r>
    </w:p>
    <w:p>
      <w:pPr>
        <w:spacing w:line="261" w:lineRule="auto" w:before="151"/>
        <w:ind w:left="568" w:right="122" w:firstLine="0"/>
        <w:jc w:val="both"/>
        <w:rPr>
          <w:i/>
          <w:sz w:val="24"/>
        </w:rPr>
      </w:pPr>
      <w:r>
        <w:rPr>
          <w:b/>
          <w:i/>
          <w:sz w:val="24"/>
        </w:rPr>
        <w:t>Keywords</w:t>
      </w:r>
      <w:r>
        <w:rPr>
          <w:i/>
          <w:sz w:val="24"/>
        </w:rPr>
        <w:t>: Government Ownership, Tax Avoidance, Cost of Debt, State-Owned Enterprises, ETR</w:t>
      </w:r>
    </w:p>
    <w:sectPr>
      <w:pgSz w:w="11910" w:h="16850"/>
      <w:pgMar w:header="0" w:footer="1020" w:top="1580" w:bottom="122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66848">
              <wp:simplePos x="0" y="0"/>
              <wp:positionH relativeFrom="page">
                <wp:posOffset>3843401</wp:posOffset>
              </wp:positionH>
              <wp:positionV relativeFrom="page">
                <wp:posOffset>9908976</wp:posOffset>
              </wp:positionV>
              <wp:extent cx="236220" cy="1949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6220" cy="194945"/>
                      </a:xfrm>
                      <a:prstGeom prst="rect">
                        <a:avLst/>
                      </a:prstGeom>
                    </wps:spPr>
                    <wps:txbx>
                      <w:txbxContent>
                        <w:p>
                          <w:pPr>
                            <w:pStyle w:val="BodyText"/>
                            <w:spacing w:before="10"/>
                            <w:ind w:left="3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630005pt;margin-top:780.234375pt;width:18.6pt;height:15.35pt;mso-position-horizontal-relative:page;mso-position-vertical-relative:page;z-index:-15749632" type="#_x0000_t202" id="docshape1" filled="false" stroked="false">
              <v:textbox inset="0,0,0,0">
                <w:txbxContent>
                  <w:p>
                    <w:pPr>
                      <w:pStyle w:val="BodyText"/>
                      <w:spacing w:before="10"/>
                      <w:ind w:left="3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568"/>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spacing w:before="67"/>
      <w:ind w:left="419"/>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2025-08-18T11:38:34Z</dcterms:created>
  <dcterms:modified xsi:type="dcterms:W3CDTF">2025-08-18T11:38:34Z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Microsoft® Word 2010</vt:lpwstr>
  </property>
  <property fmtid="{D5CDD505-2E9C-101B-9397-08002B2CF9AE}" pid="4" name="LastSaved">
    <vt:filetime>2025-08-18T00:00:00Z</vt:filetime>
  </property>
  <property fmtid="{D5CDD505-2E9C-101B-9397-08002B2CF9AE}" pid="5" name="Producer">
    <vt:lpwstr>Microsoft® Word 2010</vt:lpwstr>
  </property>
</Properties>
</file>