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spacing w:val="-2"/>
        </w:rPr>
        <w:t>ABSTRAK</w:t>
      </w:r>
    </w:p>
    <w:p>
      <w:pPr>
        <w:pStyle w:val="BodyText"/>
        <w:rPr>
          <w:b/>
          <w:i w:val="0"/>
        </w:rPr>
      </w:pPr>
    </w:p>
    <w:p>
      <w:pPr>
        <w:pStyle w:val="Heading1"/>
        <w:ind w:left="568" w:right="137"/>
        <w:jc w:val="both"/>
      </w:pPr>
      <w:r>
        <w:rPr/>
        <w:t>Tujuan penelitian ini untuk mengetahui dan menganalisis faktor yang mempengaruhi </w:t>
      </w:r>
      <w:r>
        <w:rPr>
          <w:i/>
        </w:rPr>
        <w:t>Islamic Social Reporting</w:t>
      </w:r>
      <w:r>
        <w:rPr/>
        <w:t>. Populasi dalam penelitian ini adalah Bank Syariah yang berada di Asia Tenggara tahun 2015-2024 sebanyak 33 perusahaan.</w:t>
      </w:r>
      <w:r>
        <w:rPr>
          <w:spacing w:val="-11"/>
        </w:rPr>
        <w:t> </w:t>
      </w:r>
      <w:r>
        <w:rPr/>
        <w:t>Sampel</w:t>
      </w:r>
      <w:r>
        <w:rPr>
          <w:spacing w:val="-11"/>
        </w:rPr>
        <w:t> </w:t>
      </w:r>
      <w:r>
        <w:rPr/>
        <w:t>penelitian</w:t>
      </w:r>
      <w:r>
        <w:rPr>
          <w:spacing w:val="-11"/>
        </w:rPr>
        <w:t> </w:t>
      </w:r>
      <w:r>
        <w:rPr/>
        <w:t>diambil</w:t>
      </w:r>
      <w:r>
        <w:rPr>
          <w:spacing w:val="-10"/>
        </w:rPr>
        <w:t> </w:t>
      </w:r>
      <w:r>
        <w:rPr/>
        <w:t>dengan</w:t>
      </w:r>
      <w:r>
        <w:rPr>
          <w:spacing w:val="-11"/>
        </w:rPr>
        <w:t> </w:t>
      </w:r>
      <w:r>
        <w:rPr/>
        <w:t>teknik</w:t>
      </w:r>
      <w:r>
        <w:rPr>
          <w:spacing w:val="-10"/>
        </w:rPr>
        <w:t> </w:t>
      </w:r>
      <w:r>
        <w:rPr>
          <w:i/>
        </w:rPr>
        <w:t>purposive</w:t>
      </w:r>
      <w:r>
        <w:rPr>
          <w:i/>
          <w:spacing w:val="-12"/>
        </w:rPr>
        <w:t> </w:t>
      </w:r>
      <w:r>
        <w:rPr>
          <w:i/>
        </w:rPr>
        <w:t>sampling</w:t>
      </w:r>
      <w:r>
        <w:rPr>
          <w:i/>
          <w:spacing w:val="-10"/>
        </w:rPr>
        <w:t> </w:t>
      </w:r>
      <w:r>
        <w:rPr/>
        <w:t>sehingga diperoleh</w:t>
      </w:r>
      <w:r>
        <w:rPr>
          <w:spacing w:val="-14"/>
        </w:rPr>
        <w:t> </w:t>
      </w:r>
      <w:r>
        <w:rPr/>
        <w:t>14</w:t>
      </w:r>
      <w:r>
        <w:rPr>
          <w:spacing w:val="-14"/>
        </w:rPr>
        <w:t> </w:t>
      </w:r>
      <w:r>
        <w:rPr/>
        <w:t>sampel</w:t>
      </w:r>
      <w:r>
        <w:rPr>
          <w:spacing w:val="-14"/>
        </w:rPr>
        <w:t> </w:t>
      </w:r>
      <w:r>
        <w:rPr/>
        <w:t>perusahaan.</w:t>
      </w:r>
      <w:r>
        <w:rPr>
          <w:spacing w:val="-14"/>
        </w:rPr>
        <w:t> </w:t>
      </w:r>
      <w:r>
        <w:rPr/>
        <w:t>Teknik</w:t>
      </w:r>
      <w:r>
        <w:rPr>
          <w:spacing w:val="-14"/>
        </w:rPr>
        <w:t> </w:t>
      </w:r>
      <w:r>
        <w:rPr/>
        <w:t>analisis</w:t>
      </w:r>
      <w:r>
        <w:rPr>
          <w:spacing w:val="-13"/>
        </w:rPr>
        <w:t> </w:t>
      </w:r>
      <w:r>
        <w:rPr/>
        <w:t>data</w:t>
      </w:r>
      <w:r>
        <w:rPr>
          <w:spacing w:val="-15"/>
        </w:rPr>
        <w:t> </w:t>
      </w:r>
      <w:r>
        <w:rPr/>
        <w:t>menggunakan</w:t>
      </w:r>
      <w:r>
        <w:rPr>
          <w:spacing w:val="-14"/>
        </w:rPr>
        <w:t> </w:t>
      </w:r>
      <w:r>
        <w:rPr/>
        <w:t>analisis</w:t>
      </w:r>
      <w:r>
        <w:rPr>
          <w:spacing w:val="-13"/>
        </w:rPr>
        <w:t> </w:t>
      </w:r>
      <w:r>
        <w:rPr/>
        <w:t>regresi data panel dengan model </w:t>
      </w:r>
      <w:r>
        <w:rPr>
          <w:i/>
        </w:rPr>
        <w:t>fixed effect</w:t>
      </w:r>
      <w:r>
        <w:rPr/>
        <w:t>. ICG diukur melalui ukuran direksi, keahlian direksi</w:t>
      </w:r>
      <w:r>
        <w:rPr>
          <w:spacing w:val="-15"/>
        </w:rPr>
        <w:t> </w:t>
      </w:r>
      <w:r>
        <w:rPr/>
        <w:t>serta</w:t>
      </w:r>
      <w:r>
        <w:rPr>
          <w:spacing w:val="-15"/>
        </w:rPr>
        <w:t> </w:t>
      </w:r>
      <w:r>
        <w:rPr/>
        <w:t>ukuran</w:t>
      </w:r>
      <w:r>
        <w:rPr>
          <w:spacing w:val="-15"/>
        </w:rPr>
        <w:t> </w:t>
      </w:r>
      <w:r>
        <w:rPr/>
        <w:t>DPS,</w:t>
      </w:r>
      <w:r>
        <w:rPr>
          <w:spacing w:val="-15"/>
        </w:rPr>
        <w:t> </w:t>
      </w:r>
      <w:r>
        <w:rPr/>
        <w:t>dan</w:t>
      </w:r>
      <w:r>
        <w:rPr>
          <w:spacing w:val="-15"/>
        </w:rPr>
        <w:t> </w:t>
      </w:r>
      <w:r>
        <w:rPr/>
        <w:t>keahlian</w:t>
      </w:r>
      <w:r>
        <w:rPr>
          <w:spacing w:val="-15"/>
        </w:rPr>
        <w:t> </w:t>
      </w:r>
      <w:r>
        <w:rPr/>
        <w:t>DPS</w:t>
      </w:r>
      <w:r>
        <w:rPr>
          <w:spacing w:val="-14"/>
        </w:rPr>
        <w:t> </w:t>
      </w:r>
      <w:r>
        <w:rPr/>
        <w:t>sedangkan</w:t>
      </w:r>
      <w:r>
        <w:rPr>
          <w:spacing w:val="-15"/>
        </w:rPr>
        <w:t> </w:t>
      </w:r>
      <w:r>
        <w:rPr>
          <w:i/>
        </w:rPr>
        <w:t>environmental</w:t>
      </w:r>
      <w:r>
        <w:rPr>
          <w:i/>
          <w:spacing w:val="-15"/>
        </w:rPr>
        <w:t> </w:t>
      </w:r>
      <w:r>
        <w:rPr>
          <w:i/>
        </w:rPr>
        <w:t>performance </w:t>
      </w:r>
      <w:r>
        <w:rPr/>
        <w:t>diukur melalui </w:t>
      </w:r>
      <w:r>
        <w:rPr>
          <w:i/>
        </w:rPr>
        <w:t>green banking index</w:t>
      </w:r>
      <w:r>
        <w:rPr/>
        <w:t>. Hasil penelitian menunjukkan bahwa ukuran dewan direksi, ukuran DPS tidak berpengaruh signifikan terhadap ISR, menunjukkan</w:t>
      </w:r>
      <w:r>
        <w:rPr>
          <w:spacing w:val="-2"/>
        </w:rPr>
        <w:t> </w:t>
      </w:r>
      <w:r>
        <w:rPr/>
        <w:t>kompleksitas</w:t>
      </w:r>
      <w:r>
        <w:rPr>
          <w:spacing w:val="-2"/>
        </w:rPr>
        <w:t> </w:t>
      </w:r>
      <w:r>
        <w:rPr/>
        <w:t>koordinasi</w:t>
      </w:r>
      <w:r>
        <w:rPr>
          <w:spacing w:val="-2"/>
        </w:rPr>
        <w:t> </w:t>
      </w:r>
      <w:r>
        <w:rPr/>
        <w:t>pada</w:t>
      </w:r>
      <w:r>
        <w:rPr>
          <w:spacing w:val="-3"/>
        </w:rPr>
        <w:t> </w:t>
      </w:r>
      <w:r>
        <w:rPr/>
        <w:t>dewan</w:t>
      </w:r>
      <w:r>
        <w:rPr>
          <w:spacing w:val="-2"/>
        </w:rPr>
        <w:t> </w:t>
      </w:r>
      <w:r>
        <w:rPr/>
        <w:t>besar.</w:t>
      </w:r>
      <w:r>
        <w:rPr>
          <w:spacing w:val="-3"/>
        </w:rPr>
        <w:t> </w:t>
      </w:r>
      <w:r>
        <w:rPr/>
        <w:t>Keahlian</w:t>
      </w:r>
      <w:r>
        <w:rPr>
          <w:spacing w:val="-2"/>
        </w:rPr>
        <w:t> </w:t>
      </w:r>
      <w:r>
        <w:rPr/>
        <w:t>dewan direksi, keahlian DPS, serta </w:t>
      </w:r>
      <w:r>
        <w:rPr>
          <w:i/>
        </w:rPr>
        <w:t>environmental performance </w:t>
      </w:r>
      <w:r>
        <w:rPr/>
        <w:t>berpengaruh positif signifikan terhadap pengungkapan ISR. Secara simultan, seluruh variabel ICG dan </w:t>
      </w:r>
      <w:r>
        <w:rPr>
          <w:i/>
        </w:rPr>
        <w:t>environmental performance </w:t>
      </w:r>
      <w:r>
        <w:rPr/>
        <w:t>berpengaruh signifikan terhadap ISR. Temuan ini mengindikasikan bahwa kualitas tata kelola lebih penting daripada kuantitas, dan komitmen lingkungan memperkuat transparansi pelaporan sosial berbasis syariah pada perbankan syariah Indonesia.</w:t>
      </w:r>
    </w:p>
    <w:p>
      <w:pPr>
        <w:pStyle w:val="BodyText"/>
        <w:spacing w:before="1"/>
        <w:rPr>
          <w:i w:val="0"/>
        </w:rPr>
      </w:pPr>
    </w:p>
    <w:p>
      <w:pPr>
        <w:spacing w:line="259" w:lineRule="auto" w:before="0"/>
        <w:ind w:left="568" w:right="139" w:firstLine="0"/>
        <w:jc w:val="both"/>
        <w:rPr>
          <w:sz w:val="24"/>
        </w:rPr>
      </w:pPr>
      <w:r>
        <w:rPr>
          <w:sz w:val="24"/>
        </w:rPr>
        <w:t>Kata</w:t>
      </w:r>
      <w:r>
        <w:rPr>
          <w:spacing w:val="-3"/>
          <w:sz w:val="24"/>
        </w:rPr>
        <w:t> </w:t>
      </w:r>
      <w:r>
        <w:rPr>
          <w:sz w:val="24"/>
        </w:rPr>
        <w:t>kunci</w:t>
      </w:r>
      <w:r>
        <w:rPr>
          <w:spacing w:val="-2"/>
          <w:sz w:val="24"/>
        </w:rPr>
        <w:t> </w:t>
      </w:r>
      <w:r>
        <w:rPr>
          <w:sz w:val="24"/>
        </w:rPr>
        <w:t>:</w:t>
      </w:r>
      <w:r>
        <w:rPr>
          <w:spacing w:val="-1"/>
          <w:sz w:val="24"/>
        </w:rPr>
        <w:t> </w:t>
      </w:r>
      <w:r>
        <w:rPr>
          <w:i/>
          <w:sz w:val="24"/>
        </w:rPr>
        <w:t>Islamic</w:t>
      </w:r>
      <w:r>
        <w:rPr>
          <w:i/>
          <w:spacing w:val="-3"/>
          <w:sz w:val="24"/>
        </w:rPr>
        <w:t> </w:t>
      </w:r>
      <w:r>
        <w:rPr>
          <w:i/>
          <w:sz w:val="24"/>
        </w:rPr>
        <w:t>Corporate</w:t>
      </w:r>
      <w:r>
        <w:rPr>
          <w:i/>
          <w:spacing w:val="-3"/>
          <w:sz w:val="24"/>
        </w:rPr>
        <w:t> </w:t>
      </w:r>
      <w:r>
        <w:rPr>
          <w:i/>
          <w:sz w:val="24"/>
        </w:rPr>
        <w:t>Governance</w:t>
      </w:r>
      <w:r>
        <w:rPr>
          <w:sz w:val="24"/>
        </w:rPr>
        <w:t>,</w:t>
      </w:r>
      <w:r>
        <w:rPr>
          <w:spacing w:val="-2"/>
          <w:sz w:val="24"/>
        </w:rPr>
        <w:t> </w:t>
      </w:r>
      <w:r>
        <w:rPr>
          <w:i/>
          <w:sz w:val="24"/>
        </w:rPr>
        <w:t>Environmental</w:t>
      </w:r>
      <w:r>
        <w:rPr>
          <w:i/>
          <w:spacing w:val="-2"/>
          <w:sz w:val="24"/>
        </w:rPr>
        <w:t> </w:t>
      </w:r>
      <w:r>
        <w:rPr>
          <w:i/>
          <w:sz w:val="24"/>
        </w:rPr>
        <w:t>Performance,</w:t>
      </w:r>
      <w:r>
        <w:rPr>
          <w:i/>
          <w:spacing w:val="-1"/>
          <w:sz w:val="24"/>
        </w:rPr>
        <w:t> </w:t>
      </w:r>
      <w:r>
        <w:rPr>
          <w:i/>
          <w:sz w:val="24"/>
        </w:rPr>
        <w:t>Islamic Social Reporting</w:t>
      </w:r>
      <w:r>
        <w:rPr>
          <w:sz w:val="24"/>
        </w:rPr>
        <w:t>, Bank Syariah.</w:t>
      </w:r>
    </w:p>
    <w:p>
      <w:pPr>
        <w:spacing w:after="0" w:line="259" w:lineRule="auto"/>
        <w:jc w:val="both"/>
        <w:rPr>
          <w:sz w:val="24"/>
        </w:rPr>
        <w:sectPr>
          <w:footerReference w:type="default" r:id="rId5"/>
          <w:type w:val="continuous"/>
          <w:pgSz w:w="11910" w:h="16840"/>
          <w:pgMar w:header="0" w:footer="1507" w:top="1620" w:bottom="1700" w:left="1700" w:right="1559"/>
          <w:pgNumType w:start="8"/>
        </w:sectPr>
      </w:pPr>
    </w:p>
    <w:p>
      <w:pPr>
        <w:spacing w:before="62"/>
        <w:ind w:left="429" w:right="0" w:firstLine="0"/>
        <w:jc w:val="center"/>
        <w:rPr>
          <w:b/>
          <w:i/>
          <w:sz w:val="24"/>
        </w:rPr>
      </w:pPr>
      <w:r>
        <w:rPr>
          <w:b/>
          <w:i/>
          <w:spacing w:val="-2"/>
          <w:sz w:val="24"/>
        </w:rPr>
        <w:t>ABSTRACT</w:t>
      </w:r>
    </w:p>
    <w:p>
      <w:pPr>
        <w:pStyle w:val="BodyText"/>
        <w:rPr>
          <w:b/>
        </w:rPr>
      </w:pPr>
    </w:p>
    <w:p>
      <w:pPr>
        <w:pStyle w:val="BodyText"/>
        <w:ind w:left="568" w:right="140"/>
        <w:jc w:val="both"/>
      </w:pPr>
      <w:r>
        <w:rPr/>
        <w:t>The purpose of this study is to identify and analyze factors influencing Islamic Social Reporting. The population in this study was 33 Islamic banks in Southeast Asia between 2015 and 2024. The research sample was taken using a purposive sampling</w:t>
      </w:r>
      <w:r>
        <w:rPr>
          <w:spacing w:val="-12"/>
        </w:rPr>
        <w:t> </w:t>
      </w:r>
      <w:r>
        <w:rPr/>
        <w:t>technique,</w:t>
      </w:r>
      <w:r>
        <w:rPr>
          <w:spacing w:val="-13"/>
        </w:rPr>
        <w:t> </w:t>
      </w:r>
      <w:r>
        <w:rPr/>
        <w:t>resulting</w:t>
      </w:r>
      <w:r>
        <w:rPr>
          <w:spacing w:val="-12"/>
        </w:rPr>
        <w:t> </w:t>
      </w:r>
      <w:r>
        <w:rPr/>
        <w:t>in</w:t>
      </w:r>
      <w:r>
        <w:rPr>
          <w:spacing w:val="-12"/>
        </w:rPr>
        <w:t> </w:t>
      </w:r>
      <w:r>
        <w:rPr/>
        <w:t>14</w:t>
      </w:r>
      <w:r>
        <w:rPr>
          <w:spacing w:val="-12"/>
        </w:rPr>
        <w:t> </w:t>
      </w:r>
      <w:r>
        <w:rPr/>
        <w:t>sample</w:t>
      </w:r>
      <w:r>
        <w:rPr>
          <w:spacing w:val="-13"/>
        </w:rPr>
        <w:t> </w:t>
      </w:r>
      <w:r>
        <w:rPr/>
        <w:t>companies.</w:t>
      </w:r>
      <w:r>
        <w:rPr>
          <w:spacing w:val="-12"/>
        </w:rPr>
        <w:t> </w:t>
      </w:r>
      <w:r>
        <w:rPr/>
        <w:t>The</w:t>
      </w:r>
      <w:r>
        <w:rPr>
          <w:spacing w:val="-13"/>
        </w:rPr>
        <w:t> </w:t>
      </w:r>
      <w:r>
        <w:rPr/>
        <w:t>data</w:t>
      </w:r>
      <w:r>
        <w:rPr>
          <w:spacing w:val="-12"/>
        </w:rPr>
        <w:t> </w:t>
      </w:r>
      <w:r>
        <w:rPr/>
        <w:t>analysis</w:t>
      </w:r>
      <w:r>
        <w:rPr>
          <w:spacing w:val="-12"/>
        </w:rPr>
        <w:t> </w:t>
      </w:r>
      <w:r>
        <w:rPr/>
        <w:t>technique used panel data regression analysis with a fixed effect model. ICG was measured through the size of the board of directors, the expertise of the directors, the size of the SSB, and the expertise of the SSB, while environmental performance was measured through the green banking index. The results showed that the size of the board of directors and the size of the SSB did not significantly influence ISR, indicating the complexity of coordination in large boards. The expertise of the board</w:t>
      </w:r>
      <w:r>
        <w:rPr>
          <w:spacing w:val="-4"/>
        </w:rPr>
        <w:t> </w:t>
      </w:r>
      <w:r>
        <w:rPr/>
        <w:t>of</w:t>
      </w:r>
      <w:r>
        <w:rPr>
          <w:spacing w:val="-4"/>
        </w:rPr>
        <w:t> </w:t>
      </w:r>
      <w:r>
        <w:rPr/>
        <w:t>directors,</w:t>
      </w:r>
      <w:r>
        <w:rPr>
          <w:spacing w:val="-4"/>
        </w:rPr>
        <w:t> </w:t>
      </w:r>
      <w:r>
        <w:rPr/>
        <w:t>the</w:t>
      </w:r>
      <w:r>
        <w:rPr>
          <w:spacing w:val="-4"/>
        </w:rPr>
        <w:t> </w:t>
      </w:r>
      <w:r>
        <w:rPr/>
        <w:t>expertise</w:t>
      </w:r>
      <w:r>
        <w:rPr>
          <w:spacing w:val="-5"/>
        </w:rPr>
        <w:t> </w:t>
      </w:r>
      <w:r>
        <w:rPr/>
        <w:t>of</w:t>
      </w:r>
      <w:r>
        <w:rPr>
          <w:spacing w:val="-4"/>
        </w:rPr>
        <w:t> </w:t>
      </w:r>
      <w:r>
        <w:rPr/>
        <w:t>the</w:t>
      </w:r>
      <w:r>
        <w:rPr>
          <w:spacing w:val="-5"/>
        </w:rPr>
        <w:t> </w:t>
      </w:r>
      <w:r>
        <w:rPr/>
        <w:t>SSB,</w:t>
      </w:r>
      <w:r>
        <w:rPr>
          <w:spacing w:val="-4"/>
        </w:rPr>
        <w:t> </w:t>
      </w:r>
      <w:r>
        <w:rPr/>
        <w:t>and</w:t>
      </w:r>
      <w:r>
        <w:rPr>
          <w:spacing w:val="-4"/>
        </w:rPr>
        <w:t> </w:t>
      </w:r>
      <w:r>
        <w:rPr/>
        <w:t>environmental</w:t>
      </w:r>
      <w:r>
        <w:rPr>
          <w:spacing w:val="-4"/>
        </w:rPr>
        <w:t> </w:t>
      </w:r>
      <w:r>
        <w:rPr/>
        <w:t>performance</w:t>
      </w:r>
      <w:r>
        <w:rPr>
          <w:spacing w:val="-5"/>
        </w:rPr>
        <w:t> </w:t>
      </w:r>
      <w:r>
        <w:rPr/>
        <w:t>had</w:t>
      </w:r>
      <w:r>
        <w:rPr>
          <w:spacing w:val="-4"/>
        </w:rPr>
        <w:t> </w:t>
      </w:r>
      <w:r>
        <w:rPr/>
        <w:t>a significant positive effect on ISR disclosure. Simultaneously, all ICG and environmental performance variables significantly influenced ISR. These findings indicate that the quality of governance is more important than quantity, and environmental commitment strengthens the transparency of Sharia-based social reporting in Indonesian Islamic banking.</w:t>
      </w:r>
    </w:p>
    <w:p>
      <w:pPr>
        <w:pStyle w:val="BodyText"/>
        <w:spacing w:before="1"/>
      </w:pPr>
    </w:p>
    <w:p>
      <w:pPr>
        <w:pStyle w:val="BodyText"/>
        <w:ind w:left="568" w:right="140"/>
        <w:jc w:val="both"/>
      </w:pPr>
      <w:r>
        <w:rPr>
          <w:b/>
        </w:rPr>
        <w:t>Keywords: </w:t>
      </w:r>
      <w:r>
        <w:rPr/>
        <w:t>Islamic Corporate Governance, Environmental Performance, Islamic Social Reporting, Islamic Banks.</w:t>
      </w:r>
    </w:p>
    <w:sectPr>
      <w:pgSz w:w="11910" w:h="16840"/>
      <w:pgMar w:header="0" w:footer="1507" w:top="1620" w:bottom="170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564800">
              <wp:simplePos x="0" y="0"/>
              <wp:positionH relativeFrom="page">
                <wp:posOffset>4050157</wp:posOffset>
              </wp:positionH>
              <wp:positionV relativeFrom="page">
                <wp:posOffset>9595645</wp:posOffset>
              </wp:positionV>
              <wp:extent cx="29273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2735" cy="194310"/>
                      </a:xfrm>
                      <a:prstGeom prst="rect">
                        <a:avLst/>
                      </a:prstGeom>
                    </wps:spPr>
                    <wps:txbx>
                      <w:txbxContent>
                        <w:p>
                          <w:pPr>
                            <w:spacing w:before="10"/>
                            <w:ind w:left="60" w:right="0" w:firstLine="0"/>
                            <w:jc w:val="left"/>
                            <w:rPr>
                              <w:sz w:val="24"/>
                            </w:rPr>
                          </w:pPr>
                          <w:r>
                            <w:rPr>
                              <w:spacing w:val="-4"/>
                              <w:sz w:val="24"/>
                            </w:rPr>
                            <w:fldChar w:fldCharType="begin"/>
                          </w:r>
                          <w:r>
                            <w:rPr>
                              <w:spacing w:val="-4"/>
                              <w:sz w:val="24"/>
                            </w:rPr>
                            <w:instrText> PAGE  \* roman </w:instrText>
                          </w:r>
                          <w:r>
                            <w:rPr>
                              <w:spacing w:val="-4"/>
                              <w:sz w:val="24"/>
                            </w:rPr>
                            <w:fldChar w:fldCharType="separate"/>
                          </w:r>
                          <w:r>
                            <w:rPr>
                              <w:spacing w:val="-4"/>
                              <w:sz w:val="24"/>
                            </w:rPr>
                            <w:t>viii</w:t>
                          </w:r>
                          <w:r>
                            <w:rPr>
                              <w:spacing w:val="-4"/>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8.910004pt;margin-top:755.562622pt;width:23.05pt;height:15.3pt;mso-position-horizontal-relative:page;mso-position-vertical-relative:page;z-index:-15751680" type="#_x0000_t202" id="docshape1" filled="false" stroked="false">
              <v:textbox inset="0,0,0,0">
                <w:txbxContent>
                  <w:p>
                    <w:pPr>
                      <w:spacing w:before="10"/>
                      <w:ind w:left="60" w:right="0" w:firstLine="0"/>
                      <w:jc w:val="left"/>
                      <w:rPr>
                        <w:sz w:val="24"/>
                      </w:rPr>
                    </w:pPr>
                    <w:r>
                      <w:rPr>
                        <w:spacing w:val="-4"/>
                        <w:sz w:val="24"/>
                      </w:rPr>
                      <w:fldChar w:fldCharType="begin"/>
                    </w:r>
                    <w:r>
                      <w:rPr>
                        <w:spacing w:val="-4"/>
                        <w:sz w:val="24"/>
                      </w:rPr>
                      <w:instrText> PAGE  \* roman </w:instrText>
                    </w:r>
                    <w:r>
                      <w:rPr>
                        <w:spacing w:val="-4"/>
                        <w:sz w:val="24"/>
                      </w:rPr>
                      <w:fldChar w:fldCharType="separate"/>
                    </w:r>
                    <w:r>
                      <w:rPr>
                        <w:spacing w:val="-4"/>
                        <w:sz w:val="24"/>
                      </w:rPr>
                      <w:t>viii</w:t>
                    </w:r>
                    <w:r>
                      <w:rPr>
                        <w:spacing w:val="-4"/>
                        <w:sz w:val="2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id" w:eastAsia="en-US" w:bidi="ar-SA"/>
    </w:rPr>
  </w:style>
  <w:style w:styleId="Heading1" w:type="paragraph">
    <w:name w:val="Heading 1"/>
    <w:basedOn w:val="Normal"/>
    <w:uiPriority w:val="1"/>
    <w:qFormat/>
    <w:pPr>
      <w:ind w:left="60"/>
      <w:outlineLvl w:val="1"/>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spacing w:before="62"/>
      <w:ind w:left="429"/>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2025-09-20T09:29:28Z</dcterms:created>
  <dcterms:modified xsi:type="dcterms:W3CDTF">2025-09-20T09:29:28Z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2025-09-20T00:00:00Z</vt:filetime>
  </property>
  <property fmtid="{D5CDD505-2E9C-101B-9397-08002B2CF9AE}" pid="3" name="LastSaved">
    <vt:filetime>2025-09-20T00:00:00Z</vt:filetime>
  </property>
  <property fmtid="{D5CDD505-2E9C-101B-9397-08002B2CF9AE}" pid="4" name="Producer">
    <vt:lpwstr>iLovePDF</vt:lpwstr>
  </property>
</Properties>
</file>