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8"/>
        <w:rPr>
          <w:i w:val="0"/>
        </w:rPr>
      </w:pPr>
    </w:p>
    <w:p>
      <w:pPr>
        <w:pStyle w:val="Title"/>
      </w:pPr>
      <w:r>
        <w:rPr>
          <w:spacing w:val="-2"/>
        </w:rPr>
        <w:t>ABSTRAK</w:t>
      </w:r>
    </w:p>
    <w:p>
      <w:pPr>
        <w:pStyle w:val="BodyText"/>
        <w:rPr>
          <w:b/>
          <w:i w:val="0"/>
        </w:rPr>
      </w:pPr>
    </w:p>
    <w:p>
      <w:pPr>
        <w:pStyle w:val="BodyText"/>
        <w:rPr>
          <w:b/>
          <w:i w:val="0"/>
        </w:rPr>
      </w:pPr>
    </w:p>
    <w:p>
      <w:pPr>
        <w:pStyle w:val="BodyText"/>
        <w:spacing w:before="134"/>
        <w:rPr>
          <w:b/>
          <w:i w:val="0"/>
        </w:rPr>
      </w:pPr>
    </w:p>
    <w:p>
      <w:pPr>
        <w:pStyle w:val="Heading1"/>
        <w:spacing w:line="360" w:lineRule="auto" w:before="0"/>
        <w:ind w:left="566" w:right="138" w:firstLine="720"/>
        <w:jc w:val="both"/>
      </w:pPr>
      <w:r>
        <w:rPr/>
        <w:t>Penelitian ini bertujuan untuk mengetahui strategi komunikasi yang diterapkan oleh Dinas Pemuda, Olahraga, Budaya, dan Pariwisata (DINPORABUDPAR) Kabupaten Banyumas dalam melestarikan budaya lokal Wayang Kulit Gagraak Banyumasan. Metode penelitian yang digunakan adalah pendekatan kualitatif deskrtiptif dengan tekhnik pengumpulan data melalui wawancara, observasi, dan dokumentasi. Penelitian ini menggunakan teori Difusi Inovasi oleh Everett M. Rogers yang mencakup empat elemen utama: inovasi, saluran komunikasi, jangka waktu, dan sistem sosial.</w:t>
      </w:r>
    </w:p>
    <w:p>
      <w:pPr>
        <w:spacing w:line="360" w:lineRule="auto" w:before="1"/>
        <w:ind w:left="566" w:right="135" w:firstLine="720"/>
        <w:jc w:val="both"/>
        <w:rPr>
          <w:sz w:val="24"/>
        </w:rPr>
      </w:pPr>
      <w:r>
        <w:rPr>
          <w:sz w:val="24"/>
        </w:rPr>
        <w:t>Hasil penelitian ini menunjukan bahwa DINPORABUDPAR melakukan berbagai inovasi seperti pementasan dalang enom, dalang wadon, lintas generasi, dan program Museum Masuk Sekolah. Saluran komunikasi yang digunakan meliputi media sosial seperti Instagram, YouTube, Facebook, serta kerja sama dengan komunitas seni local seperti PEPADI. Dalam jangka waktu 2-3 tahun terakhir, strategi komunikasi ini dijalankan serta berkelanjutan dan konsisten. Dukungan</w:t>
      </w:r>
      <w:r>
        <w:rPr>
          <w:spacing w:val="-15"/>
          <w:sz w:val="24"/>
        </w:rPr>
        <w:t> </w:t>
      </w:r>
      <w:r>
        <w:rPr>
          <w:sz w:val="24"/>
        </w:rPr>
        <w:t>sistem</w:t>
      </w:r>
      <w:r>
        <w:rPr>
          <w:spacing w:val="-15"/>
          <w:sz w:val="24"/>
        </w:rPr>
        <w:t> </w:t>
      </w:r>
      <w:r>
        <w:rPr>
          <w:sz w:val="24"/>
        </w:rPr>
        <w:t>sosial</w:t>
      </w:r>
      <w:r>
        <w:rPr>
          <w:spacing w:val="-15"/>
          <w:sz w:val="24"/>
        </w:rPr>
        <w:t> </w:t>
      </w:r>
      <w:r>
        <w:rPr>
          <w:sz w:val="24"/>
        </w:rPr>
        <w:t>yang</w:t>
      </w:r>
      <w:r>
        <w:rPr>
          <w:spacing w:val="-15"/>
          <w:sz w:val="24"/>
        </w:rPr>
        <w:t> </w:t>
      </w:r>
      <w:r>
        <w:rPr>
          <w:sz w:val="24"/>
        </w:rPr>
        <w:t>kuat,</w:t>
      </w:r>
      <w:r>
        <w:rPr>
          <w:spacing w:val="-15"/>
          <w:sz w:val="24"/>
        </w:rPr>
        <w:t> </w:t>
      </w:r>
      <w:r>
        <w:rPr>
          <w:sz w:val="24"/>
        </w:rPr>
        <w:t>keterlibatan</w:t>
      </w:r>
      <w:r>
        <w:rPr>
          <w:spacing w:val="-15"/>
          <w:sz w:val="24"/>
        </w:rPr>
        <w:t> </w:t>
      </w:r>
      <w:r>
        <w:rPr>
          <w:sz w:val="24"/>
        </w:rPr>
        <w:t>Masyarakat,</w:t>
      </w:r>
      <w:r>
        <w:rPr>
          <w:spacing w:val="-15"/>
          <w:sz w:val="24"/>
        </w:rPr>
        <w:t> </w:t>
      </w:r>
      <w:r>
        <w:rPr>
          <w:sz w:val="24"/>
        </w:rPr>
        <w:t>serta</w:t>
      </w:r>
      <w:r>
        <w:rPr>
          <w:spacing w:val="-15"/>
          <w:sz w:val="24"/>
        </w:rPr>
        <w:t> </w:t>
      </w:r>
      <w:r>
        <w:rPr>
          <w:sz w:val="24"/>
        </w:rPr>
        <w:t>penggunaan</w:t>
      </w:r>
      <w:r>
        <w:rPr>
          <w:spacing w:val="-15"/>
          <w:sz w:val="24"/>
        </w:rPr>
        <w:t> </w:t>
      </w:r>
      <w:r>
        <w:rPr>
          <w:sz w:val="24"/>
        </w:rPr>
        <w:t>logat lokal Banyumasan (cablaka) turut memperkuat keberhasilan pelestarian budaya.</w:t>
      </w:r>
    </w:p>
    <w:p>
      <w:pPr>
        <w:pStyle w:val="BodyText"/>
        <w:spacing w:before="138"/>
        <w:rPr>
          <w:i w:val="0"/>
        </w:rPr>
      </w:pPr>
    </w:p>
    <w:p>
      <w:pPr>
        <w:pStyle w:val="BodyText"/>
        <w:ind w:left="566"/>
        <w:rPr>
          <w:i/>
        </w:rPr>
      </w:pPr>
      <w:r>
        <w:rPr>
          <w:b/>
          <w:i/>
        </w:rPr>
        <w:t>Kata</w:t>
      </w:r>
      <w:r>
        <w:rPr>
          <w:b/>
          <w:i/>
          <w:spacing w:val="-9"/>
        </w:rPr>
        <w:t> </w:t>
      </w:r>
      <w:r>
        <w:rPr>
          <w:b/>
          <w:i/>
        </w:rPr>
        <w:t>Kunci</w:t>
      </w:r>
      <w:r>
        <w:rPr>
          <w:b/>
          <w:i/>
          <w:spacing w:val="-6"/>
        </w:rPr>
        <w:t> </w:t>
      </w:r>
      <w:r>
        <w:rPr>
          <w:i/>
        </w:rPr>
        <w:t>:</w:t>
      </w:r>
      <w:r>
        <w:rPr>
          <w:i/>
          <w:spacing w:val="-11"/>
        </w:rPr>
        <w:t> </w:t>
      </w:r>
      <w:r>
        <w:rPr>
          <w:i/>
        </w:rPr>
        <w:t>Strategi</w:t>
      </w:r>
      <w:r>
        <w:rPr>
          <w:i/>
          <w:spacing w:val="-8"/>
        </w:rPr>
        <w:t> </w:t>
      </w:r>
      <w:r>
        <w:rPr>
          <w:i/>
        </w:rPr>
        <w:t>Komunikasi,</w:t>
      </w:r>
      <w:r>
        <w:rPr>
          <w:i/>
          <w:spacing w:val="-6"/>
        </w:rPr>
        <w:t> </w:t>
      </w:r>
      <w:r>
        <w:rPr>
          <w:i/>
        </w:rPr>
        <w:t>Dinporabudpar,</w:t>
      </w:r>
      <w:r>
        <w:rPr>
          <w:i/>
          <w:spacing w:val="-6"/>
        </w:rPr>
        <w:t> </w:t>
      </w:r>
      <w:r>
        <w:rPr>
          <w:i/>
          <w:spacing w:val="-2"/>
        </w:rPr>
        <w:t>Budaya</w:t>
      </w:r>
    </w:p>
    <w:p>
      <w:pPr>
        <w:pStyle w:val="BodyText"/>
        <w:spacing w:after="0"/>
        <w:rPr>
          <w:i/>
        </w:rPr>
        <w:sectPr>
          <w:footerReference w:type="default" r:id="rId5"/>
          <w:type w:val="continuous"/>
          <w:pgSz w:w="11910" w:h="16840"/>
          <w:pgMar w:header="0" w:footer="1056" w:top="1920" w:bottom="1240" w:left="1700" w:right="1559"/>
          <w:pgNumType w:start="1"/>
        </w:sectPr>
      </w:pPr>
    </w:p>
    <w:p>
      <w:pPr>
        <w:pStyle w:val="BodyText"/>
        <w:spacing w:before="48"/>
        <w:rPr>
          <w:i/>
        </w:rPr>
      </w:pPr>
    </w:p>
    <w:p>
      <w:pPr>
        <w:spacing w:before="1"/>
        <w:ind w:left="429" w:right="8" w:firstLine="0"/>
        <w:jc w:val="center"/>
        <w:rPr>
          <w:b/>
          <w:i/>
          <w:sz w:val="24"/>
        </w:rPr>
      </w:pPr>
      <w:r>
        <w:rPr>
          <w:b/>
          <w:i/>
          <w:spacing w:val="-2"/>
          <w:sz w:val="24"/>
        </w:rPr>
        <w:t>ABSTRACT</w:t>
      </w:r>
    </w:p>
    <w:p>
      <w:pPr>
        <w:pStyle w:val="BodyText"/>
        <w:rPr>
          <w:b/>
          <w:i/>
        </w:rPr>
      </w:pPr>
    </w:p>
    <w:p>
      <w:pPr>
        <w:pStyle w:val="BodyText"/>
        <w:rPr>
          <w:b/>
          <w:i/>
        </w:rPr>
      </w:pPr>
    </w:p>
    <w:p>
      <w:pPr>
        <w:pStyle w:val="BodyText"/>
        <w:spacing w:before="134"/>
        <w:rPr>
          <w:b/>
          <w:i/>
        </w:rPr>
      </w:pPr>
    </w:p>
    <w:p>
      <w:pPr>
        <w:pStyle w:val="BodyText"/>
        <w:spacing w:line="360" w:lineRule="auto"/>
        <w:ind w:left="566" w:right="139" w:firstLine="720"/>
        <w:jc w:val="both"/>
      </w:pPr>
      <w:r>
        <w:rPr>
          <w:i/>
        </w:rPr>
        <w:t>This</w:t>
      </w:r>
      <w:r>
        <w:rPr>
          <w:i/>
          <w:spacing w:val="-4"/>
        </w:rPr>
        <w:t> </w:t>
      </w:r>
      <w:r>
        <w:rPr>
          <w:i/>
        </w:rPr>
        <w:t>study</w:t>
      </w:r>
      <w:r>
        <w:rPr>
          <w:i/>
          <w:spacing w:val="-3"/>
        </w:rPr>
        <w:t> </w:t>
      </w:r>
      <w:r>
        <w:rPr>
          <w:i/>
        </w:rPr>
        <w:t>aims</w:t>
      </w:r>
      <w:r>
        <w:rPr>
          <w:i/>
          <w:spacing w:val="-5"/>
        </w:rPr>
        <w:t> </w:t>
      </w:r>
      <w:r>
        <w:rPr>
          <w:i/>
        </w:rPr>
        <w:t>to</w:t>
      </w:r>
      <w:r>
        <w:rPr>
          <w:i/>
          <w:spacing w:val="-2"/>
        </w:rPr>
        <w:t> </w:t>
      </w:r>
      <w:r>
        <w:rPr>
          <w:i/>
        </w:rPr>
        <w:t>determine</w:t>
      </w:r>
      <w:r>
        <w:rPr>
          <w:i/>
          <w:spacing w:val="-3"/>
        </w:rPr>
        <w:t> </w:t>
      </w:r>
      <w:r>
        <w:rPr>
          <w:i/>
        </w:rPr>
        <w:t>the</w:t>
      </w:r>
      <w:r>
        <w:rPr>
          <w:i/>
          <w:spacing w:val="-3"/>
        </w:rPr>
        <w:t> </w:t>
      </w:r>
      <w:r>
        <w:rPr>
          <w:i/>
        </w:rPr>
        <w:t>communication</w:t>
      </w:r>
      <w:r>
        <w:rPr>
          <w:i/>
          <w:spacing w:val="-7"/>
        </w:rPr>
        <w:t> </w:t>
      </w:r>
      <w:r>
        <w:rPr>
          <w:i/>
        </w:rPr>
        <w:t>strategies</w:t>
      </w:r>
      <w:r>
        <w:rPr>
          <w:i/>
          <w:spacing w:val="-5"/>
        </w:rPr>
        <w:t> </w:t>
      </w:r>
      <w:r>
        <w:rPr>
          <w:i/>
        </w:rPr>
        <w:t>implemented</w:t>
      </w:r>
      <w:r>
        <w:rPr>
          <w:i/>
          <w:spacing w:val="-3"/>
        </w:rPr>
        <w:t> </w:t>
      </w:r>
      <w:r>
        <w:rPr>
          <w:i/>
        </w:rPr>
        <w:t>by</w:t>
      </w:r>
      <w:r>
        <w:rPr/>
        <w:t> the Banyumas Regency Youth, Sports, Culture, and Tourism Agency (DINPORABUDPAR) in preserving the local culture of Wayang Kulit Gagraak Banyumasan. The</w:t>
      </w:r>
      <w:r>
        <w:rPr>
          <w:spacing w:val="-7"/>
        </w:rPr>
        <w:t> </w:t>
      </w:r>
      <w:r>
        <w:rPr/>
        <w:t>research</w:t>
      </w:r>
      <w:r>
        <w:rPr>
          <w:spacing w:val="-3"/>
        </w:rPr>
        <w:t> </w:t>
      </w:r>
      <w:r>
        <w:rPr/>
        <w:t>method</w:t>
      </w:r>
      <w:r>
        <w:rPr>
          <w:spacing w:val="-2"/>
        </w:rPr>
        <w:t> </w:t>
      </w:r>
      <w:r>
        <w:rPr/>
        <w:t>used</w:t>
      </w:r>
      <w:r>
        <w:rPr>
          <w:spacing w:val="-3"/>
        </w:rPr>
        <w:t> </w:t>
      </w:r>
      <w:r>
        <w:rPr/>
        <w:t>is</w:t>
      </w:r>
      <w:r>
        <w:rPr>
          <w:spacing w:val="-8"/>
        </w:rPr>
        <w:t> </w:t>
      </w:r>
      <w:r>
        <w:rPr/>
        <w:t>a</w:t>
      </w:r>
      <w:r>
        <w:rPr>
          <w:spacing w:val="-6"/>
        </w:rPr>
        <w:t> </w:t>
      </w:r>
      <w:r>
        <w:rPr/>
        <w:t>descriptive</w:t>
      </w:r>
      <w:r>
        <w:rPr>
          <w:spacing w:val="-4"/>
        </w:rPr>
        <w:t> </w:t>
      </w:r>
      <w:r>
        <w:rPr/>
        <w:t>qualitative</w:t>
      </w:r>
      <w:r>
        <w:rPr>
          <w:spacing w:val="-4"/>
        </w:rPr>
        <w:t> </w:t>
      </w:r>
      <w:r>
        <w:rPr/>
        <w:t>approach</w:t>
      </w:r>
      <w:r>
        <w:rPr>
          <w:spacing w:val="-3"/>
        </w:rPr>
        <w:t> </w:t>
      </w:r>
      <w:r>
        <w:rPr/>
        <w:t>with data collection techniques through interviews, observation, and documentation. This study uses</w:t>
      </w:r>
      <w:r>
        <w:rPr>
          <w:spacing w:val="-1"/>
        </w:rPr>
        <w:t> </w:t>
      </w:r>
      <w:r>
        <w:rPr/>
        <w:t>Everett M. Rogers' Innovation Diffusion theory, which covers</w:t>
      </w:r>
      <w:r>
        <w:rPr>
          <w:spacing w:val="-1"/>
        </w:rPr>
        <w:t> </w:t>
      </w:r>
      <w:r>
        <w:rPr/>
        <w:t>four main elements: innovation, communication channels, time frame, and social </w:t>
      </w:r>
      <w:r>
        <w:rPr>
          <w:spacing w:val="-2"/>
        </w:rPr>
        <w:t>systems.</w:t>
      </w:r>
    </w:p>
    <w:p>
      <w:pPr>
        <w:pStyle w:val="BodyText"/>
        <w:spacing w:line="360" w:lineRule="auto" w:before="1"/>
        <w:ind w:left="566" w:right="135" w:firstLine="720"/>
        <w:jc w:val="both"/>
      </w:pPr>
      <w:r>
        <w:rPr>
          <w:i/>
        </w:rPr>
        <w:t>The results of this study show that DINPORABUDPAR has implemented</w:t>
      </w:r>
      <w:r>
        <w:rPr/>
        <w:t> various</w:t>
      </w:r>
      <w:r>
        <w:rPr>
          <w:spacing w:val="-14"/>
        </w:rPr>
        <w:t> </w:t>
      </w:r>
      <w:r>
        <w:rPr/>
        <w:t>innovations</w:t>
      </w:r>
      <w:r>
        <w:rPr>
          <w:spacing w:val="-14"/>
        </w:rPr>
        <w:t> </w:t>
      </w:r>
      <w:r>
        <w:rPr/>
        <w:t>such</w:t>
      </w:r>
      <w:r>
        <w:rPr>
          <w:spacing w:val="-13"/>
        </w:rPr>
        <w:t> </w:t>
      </w:r>
      <w:r>
        <w:rPr/>
        <w:t>as</w:t>
      </w:r>
      <w:r>
        <w:rPr>
          <w:spacing w:val="-15"/>
        </w:rPr>
        <w:t> </w:t>
      </w:r>
      <w:r>
        <w:rPr/>
        <w:t>performances</w:t>
      </w:r>
      <w:r>
        <w:rPr>
          <w:spacing w:val="-15"/>
        </w:rPr>
        <w:t> </w:t>
      </w:r>
      <w:r>
        <w:rPr/>
        <w:t>by</w:t>
      </w:r>
      <w:r>
        <w:rPr>
          <w:spacing w:val="-14"/>
        </w:rPr>
        <w:t> </w:t>
      </w:r>
      <w:r>
        <w:rPr/>
        <w:t>young</w:t>
      </w:r>
      <w:r>
        <w:rPr>
          <w:spacing w:val="-13"/>
        </w:rPr>
        <w:t> </w:t>
      </w:r>
      <w:r>
        <w:rPr/>
        <w:t>puppeteers,</w:t>
      </w:r>
      <w:r>
        <w:rPr>
          <w:spacing w:val="-15"/>
        </w:rPr>
        <w:t> </w:t>
      </w:r>
      <w:r>
        <w:rPr/>
        <w:t>female</w:t>
      </w:r>
      <w:r>
        <w:rPr>
          <w:spacing w:val="-14"/>
        </w:rPr>
        <w:t> </w:t>
      </w:r>
      <w:r>
        <w:rPr/>
        <w:t>puppeteers, cross-generational performances, and the Museum Enters School program. The communication channels used include social media such as Instagram, YouTube, Facebook,</w:t>
      </w:r>
      <w:r>
        <w:rPr>
          <w:spacing w:val="-12"/>
        </w:rPr>
        <w:t> </w:t>
      </w:r>
      <w:r>
        <w:rPr/>
        <w:t>and</w:t>
      </w:r>
      <w:r>
        <w:rPr>
          <w:spacing w:val="-11"/>
        </w:rPr>
        <w:t> </w:t>
      </w:r>
      <w:r>
        <w:rPr/>
        <w:t>collaboration</w:t>
      </w:r>
      <w:r>
        <w:rPr>
          <w:spacing w:val="-15"/>
        </w:rPr>
        <w:t> </w:t>
      </w:r>
      <w:r>
        <w:rPr/>
        <w:t>with</w:t>
      </w:r>
      <w:r>
        <w:rPr>
          <w:spacing w:val="-11"/>
        </w:rPr>
        <w:t> </w:t>
      </w:r>
      <w:r>
        <w:rPr/>
        <w:t>local</w:t>
      </w:r>
      <w:r>
        <w:rPr>
          <w:spacing w:val="-11"/>
        </w:rPr>
        <w:t> </w:t>
      </w:r>
      <w:r>
        <w:rPr/>
        <w:t>art</w:t>
      </w:r>
      <w:r>
        <w:rPr>
          <w:spacing w:val="-15"/>
        </w:rPr>
        <w:t> </w:t>
      </w:r>
      <w:r>
        <w:rPr/>
        <w:t>communities</w:t>
      </w:r>
      <w:r>
        <w:rPr>
          <w:spacing w:val="-11"/>
        </w:rPr>
        <w:t> </w:t>
      </w:r>
      <w:r>
        <w:rPr/>
        <w:t>such</w:t>
      </w:r>
      <w:r>
        <w:rPr>
          <w:spacing w:val="-11"/>
        </w:rPr>
        <w:t> </w:t>
      </w:r>
      <w:r>
        <w:rPr/>
        <w:t>as</w:t>
      </w:r>
      <w:r>
        <w:rPr>
          <w:spacing w:val="-15"/>
        </w:rPr>
        <w:t> </w:t>
      </w:r>
      <w:r>
        <w:rPr/>
        <w:t>PEPADI.</w:t>
      </w:r>
      <w:r>
        <w:rPr>
          <w:spacing w:val="-13"/>
        </w:rPr>
        <w:t> </w:t>
      </w:r>
      <w:r>
        <w:rPr/>
        <w:t>Over</w:t>
      </w:r>
      <w:r>
        <w:rPr>
          <w:spacing w:val="-13"/>
        </w:rPr>
        <w:t> </w:t>
      </w:r>
      <w:r>
        <w:rPr/>
        <w:t>the past 2-3 years, this communication strategy has been implemented continuously and</w:t>
      </w:r>
      <w:r>
        <w:rPr>
          <w:spacing w:val="-15"/>
        </w:rPr>
        <w:t> </w:t>
      </w:r>
      <w:r>
        <w:rPr/>
        <w:t>consistently.</w:t>
      </w:r>
      <w:r>
        <w:rPr>
          <w:spacing w:val="-13"/>
        </w:rPr>
        <w:t> </w:t>
      </w:r>
      <w:r>
        <w:rPr/>
        <w:t>Strong</w:t>
      </w:r>
      <w:r>
        <w:rPr>
          <w:spacing w:val="-15"/>
        </w:rPr>
        <w:t> </w:t>
      </w:r>
      <w:r>
        <w:rPr/>
        <w:t>social</w:t>
      </w:r>
      <w:r>
        <w:rPr>
          <w:spacing w:val="-14"/>
        </w:rPr>
        <w:t> </w:t>
      </w:r>
      <w:r>
        <w:rPr/>
        <w:t>system</w:t>
      </w:r>
      <w:r>
        <w:rPr>
          <w:spacing w:val="-15"/>
        </w:rPr>
        <w:t> </w:t>
      </w:r>
      <w:r>
        <w:rPr/>
        <w:t>support,</w:t>
      </w:r>
      <w:r>
        <w:rPr>
          <w:spacing w:val="-12"/>
        </w:rPr>
        <w:t> </w:t>
      </w:r>
      <w:r>
        <w:rPr/>
        <w:t>community</w:t>
      </w:r>
      <w:r>
        <w:rPr>
          <w:spacing w:val="-15"/>
        </w:rPr>
        <w:t> </w:t>
      </w:r>
      <w:r>
        <w:rPr/>
        <w:t>involvement,</w:t>
      </w:r>
      <w:r>
        <w:rPr>
          <w:spacing w:val="-12"/>
        </w:rPr>
        <w:t> </w:t>
      </w:r>
      <w:r>
        <w:rPr/>
        <w:t>and</w:t>
      </w:r>
      <w:r>
        <w:rPr>
          <w:spacing w:val="-15"/>
        </w:rPr>
        <w:t> </w:t>
      </w:r>
      <w:r>
        <w:rPr/>
        <w:t>the</w:t>
      </w:r>
      <w:r>
        <w:rPr>
          <w:spacing w:val="-15"/>
        </w:rPr>
        <w:t> </w:t>
      </w:r>
      <w:r>
        <w:rPr/>
        <w:t>use of the local Banyumasan dialect (cablaka) have also contributed to the success of cultural preservation.</w:t>
      </w:r>
    </w:p>
    <w:p>
      <w:pPr>
        <w:pStyle w:val="BodyText"/>
        <w:spacing w:before="142"/>
        <w:rPr>
          <w:i/>
        </w:rPr>
      </w:pPr>
    </w:p>
    <w:p>
      <w:pPr>
        <w:pStyle w:val="BodyText"/>
        <w:spacing w:before="1"/>
        <w:ind w:left="566"/>
        <w:rPr>
          <w:i/>
        </w:rPr>
      </w:pPr>
      <w:r>
        <w:rPr>
          <w:b/>
          <w:i/>
          <w:spacing w:val="-2"/>
        </w:rPr>
        <w:t>Keywords</w:t>
      </w:r>
      <w:r>
        <w:rPr>
          <w:i/>
          <w:spacing w:val="-2"/>
        </w:rPr>
        <w:t>:</w:t>
      </w:r>
      <w:r>
        <w:rPr>
          <w:i/>
          <w:spacing w:val="4"/>
        </w:rPr>
        <w:t> </w:t>
      </w:r>
      <w:r>
        <w:rPr>
          <w:i/>
          <w:spacing w:val="-2"/>
        </w:rPr>
        <w:t>Communication</w:t>
      </w:r>
      <w:r>
        <w:rPr>
          <w:i/>
          <w:spacing w:val="5"/>
        </w:rPr>
        <w:t> </w:t>
      </w:r>
      <w:r>
        <w:rPr>
          <w:i/>
          <w:spacing w:val="-2"/>
        </w:rPr>
        <w:t>Strategy,</w:t>
      </w:r>
      <w:r>
        <w:rPr>
          <w:i/>
          <w:spacing w:val="8"/>
        </w:rPr>
        <w:t> </w:t>
      </w:r>
      <w:r>
        <w:rPr>
          <w:i/>
          <w:spacing w:val="-2"/>
        </w:rPr>
        <w:t>Dinpotabudpar,</w:t>
      </w:r>
      <w:r>
        <w:rPr>
          <w:i/>
          <w:spacing w:val="8"/>
        </w:rPr>
        <w:t> </w:t>
      </w:r>
      <w:r>
        <w:rPr>
          <w:i/>
          <w:spacing w:val="-2"/>
        </w:rPr>
        <w:t>Culture</w:t>
      </w:r>
    </w:p>
    <w:sectPr>
      <w:footerReference w:type="default" r:id="rId6"/>
      <w:pgSz w:w="11910" w:h="16840"/>
      <w:pgMar w:header="0" w:footer="1056" w:top="19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57120">
              <wp:simplePos x="0" y="0"/>
              <wp:positionH relativeFrom="page">
                <wp:posOffset>3905503</wp:posOffset>
              </wp:positionH>
              <wp:positionV relativeFrom="page">
                <wp:posOffset>9882157</wp:posOffset>
              </wp:positionV>
              <wp:extent cx="11112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1125" cy="194310"/>
                      </a:xfrm>
                      <a:prstGeom prst="rect">
                        <a:avLst/>
                      </a:prstGeom>
                    </wps:spPr>
                    <wps:txbx>
                      <w:txbxContent>
                        <w:p>
                          <w:pPr>
                            <w:spacing w:before="10"/>
                            <w:ind w:left="20" w:right="0" w:firstLine="0"/>
                            <w:jc w:val="left"/>
                            <w:rPr>
                              <w:sz w:val="24"/>
                            </w:rPr>
                          </w:pPr>
                          <w:r>
                            <w:rPr>
                              <w:spacing w:val="-5"/>
                              <w:sz w:val="24"/>
                            </w:rPr>
                            <w:t>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7.519989pt;margin-top:778.12262pt;width:8.75pt;height:15.3pt;mso-position-horizontal-relative:page;mso-position-vertical-relative:page;z-index:-15759360" type="#_x0000_t202" id="docshape1" filled="false" stroked="false">
              <v:textbox inset="0,0,0,0">
                <w:txbxContent>
                  <w:p>
                    <w:pPr>
                      <w:spacing w:before="10"/>
                      <w:ind w:left="20" w:right="0" w:firstLine="0"/>
                      <w:jc w:val="left"/>
                      <w:rPr>
                        <w:sz w:val="24"/>
                      </w:rPr>
                    </w:pPr>
                    <w:r>
                      <w:rPr>
                        <w:spacing w:val="-5"/>
                        <w:sz w:val="24"/>
                      </w:rPr>
                      <w:t>ii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57632">
              <wp:simplePos x="0" y="0"/>
              <wp:positionH relativeFrom="page">
                <wp:posOffset>3884167</wp:posOffset>
              </wp:positionH>
              <wp:positionV relativeFrom="page">
                <wp:posOffset>9882157</wp:posOffset>
              </wp:positionV>
              <wp:extent cx="15367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670" cy="194310"/>
                      </a:xfrm>
                      <a:prstGeom prst="rect">
                        <a:avLst/>
                      </a:prstGeom>
                    </wps:spPr>
                    <wps:txbx>
                      <w:txbxContent>
                        <w:p>
                          <w:pPr>
                            <w:spacing w:before="10"/>
                            <w:ind w:left="20" w:right="0" w:firstLine="0"/>
                            <w:jc w:val="left"/>
                            <w:rPr>
                              <w:sz w:val="24"/>
                            </w:rPr>
                          </w:pPr>
                          <w:r>
                            <w:rPr>
                              <w:spacing w:val="-5"/>
                              <w:sz w:val="24"/>
                            </w:rPr>
                            <w:t>iii</w:t>
                          </w:r>
                        </w:p>
                      </w:txbxContent>
                    </wps:txbx>
                    <wps:bodyPr wrap="square" lIns="0" tIns="0" rIns="0" bIns="0" rtlCol="0">
                      <a:noAutofit/>
                    </wps:bodyPr>
                  </wps:wsp>
                </a:graphicData>
              </a:graphic>
            </wp:anchor>
          </w:drawing>
        </mc:Choice>
        <mc:Fallback>
          <w:pict>
            <v:shape style="position:absolute;margin-left:305.839996pt;margin-top:778.12262pt;width:12.1pt;height:15.3pt;mso-position-horizontal-relative:page;mso-position-vertical-relative:page;z-index:-15758848" type="#_x0000_t202" id="docshape2" filled="false" stroked="false">
              <v:textbox inset="0,0,0,0">
                <w:txbxContent>
                  <w:p>
                    <w:pPr>
                      <w:spacing w:before="10"/>
                      <w:ind w:left="20" w:right="0" w:firstLine="0"/>
                      <w:jc w:val="left"/>
                      <w:rPr>
                        <w:sz w:val="24"/>
                      </w:rPr>
                    </w:pPr>
                    <w:r>
                      <w:rPr>
                        <w:spacing w:val="-5"/>
                        <w:sz w:val="24"/>
                      </w:rPr>
                      <w:t>iii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1"/>
      <w:ind w:left="429"/>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2025-10-18T05:59:30Z</dcterms:created>
  <dcterms:modified xsi:type="dcterms:W3CDTF">2025-10-18T05:59:30Z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LastSaved">
    <vt:filetime>2025-10-18T00:00:00Z</vt:filetime>
  </property>
  <property fmtid="{D5CDD505-2E9C-101B-9397-08002B2CF9AE}" pid="4" name="Producer">
    <vt:lpwstr>iLovePDF</vt:lpwstr>
  </property>
</Properties>
</file>