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F0FE1" w14:textId="77777777" w:rsidR="005C2754" w:rsidRPr="005C2754" w:rsidRDefault="005C2754" w:rsidP="005C2754">
      <w:pPr>
        <w:pStyle w:val="Heading1"/>
        <w:jc w:val="center"/>
        <w:rPr>
          <w:sz w:val="24"/>
          <w:szCs w:val="28"/>
        </w:rPr>
      </w:pPr>
      <w:bookmarkStart w:id="0" w:name="_Toc208995365"/>
      <w:r w:rsidRPr="005C2754">
        <w:rPr>
          <w:sz w:val="24"/>
          <w:szCs w:val="28"/>
        </w:rPr>
        <w:t>ABSTRAK</w:t>
      </w:r>
      <w:bookmarkEnd w:id="0"/>
    </w:p>
    <w:p w14:paraId="2AF0E171" w14:textId="77777777" w:rsidR="005C2754" w:rsidRPr="00587D42" w:rsidRDefault="005C2754" w:rsidP="005C2754">
      <w:pPr>
        <w:spacing w:after="0" w:line="480" w:lineRule="auto"/>
        <w:jc w:val="center"/>
        <w:rPr>
          <w:rFonts w:ascii="Times New Roman" w:hAnsi="Times New Roman" w:cs="Times New Roman"/>
          <w:b/>
          <w:bCs/>
          <w:color w:val="000000" w:themeColor="text1"/>
          <w:sz w:val="24"/>
          <w:szCs w:val="24"/>
        </w:rPr>
      </w:pPr>
    </w:p>
    <w:p w14:paraId="76056715" w14:textId="77777777" w:rsidR="005C2754" w:rsidRDefault="005C2754" w:rsidP="005C2754">
      <w:pPr>
        <w:spacing w:after="0" w:line="240" w:lineRule="auto"/>
        <w:jc w:val="both"/>
        <w:rPr>
          <w:rFonts w:ascii="Times New Roman" w:hAnsi="Times New Roman" w:cs="Times New Roman"/>
          <w:bCs/>
          <w:color w:val="000000" w:themeColor="text1"/>
          <w:sz w:val="24"/>
          <w:szCs w:val="24"/>
        </w:rPr>
      </w:pPr>
      <w:r w:rsidRPr="00587D42">
        <w:rPr>
          <w:rFonts w:ascii="Times New Roman" w:hAnsi="Times New Roman" w:cs="Times New Roman"/>
          <w:b/>
          <w:bCs/>
          <w:color w:val="000000" w:themeColor="text1"/>
          <w:sz w:val="24"/>
          <w:szCs w:val="24"/>
        </w:rPr>
        <w:t xml:space="preserve">Amalia, Hami Zatul 2025. </w:t>
      </w:r>
      <w:r w:rsidRPr="00587D42">
        <w:rPr>
          <w:rFonts w:ascii="Times New Roman" w:hAnsi="Times New Roman" w:cs="Times New Roman"/>
          <w:bCs/>
          <w:color w:val="000000" w:themeColor="text1"/>
          <w:sz w:val="24"/>
          <w:szCs w:val="24"/>
        </w:rPr>
        <w:t>Pengembangan Modul Pembelajaran Matematika Menggunakan Model TGT Berbasis ICARE Kelas X. Pendidikan Matematika. Universitas Peradaban. Dian Purwaningsih, M.Pd.</w:t>
      </w:r>
    </w:p>
    <w:p w14:paraId="485086AE" w14:textId="77777777" w:rsidR="005C2754" w:rsidRPr="00587D42" w:rsidRDefault="005C2754" w:rsidP="005C2754">
      <w:pPr>
        <w:spacing w:after="0" w:line="240" w:lineRule="auto"/>
        <w:jc w:val="both"/>
        <w:rPr>
          <w:rFonts w:ascii="Times New Roman" w:hAnsi="Times New Roman" w:cs="Times New Roman"/>
          <w:bCs/>
          <w:color w:val="000000" w:themeColor="text1"/>
          <w:sz w:val="24"/>
          <w:szCs w:val="24"/>
        </w:rPr>
      </w:pPr>
    </w:p>
    <w:p w14:paraId="544B8E9C" w14:textId="77777777" w:rsidR="005C2754" w:rsidRDefault="005C2754" w:rsidP="005C2754">
      <w:pPr>
        <w:spacing w:after="0" w:line="240" w:lineRule="auto"/>
        <w:jc w:val="both"/>
        <w:rPr>
          <w:rFonts w:ascii="Times New Roman" w:hAnsi="Times New Roman" w:cs="Times New Roman"/>
          <w:bCs/>
          <w:color w:val="000000" w:themeColor="text1"/>
          <w:sz w:val="24"/>
          <w:szCs w:val="24"/>
        </w:rPr>
      </w:pPr>
      <w:r w:rsidRPr="005C2754">
        <w:rPr>
          <w:rFonts w:ascii="Times New Roman" w:hAnsi="Times New Roman" w:cs="Times New Roman"/>
          <w:b/>
          <w:color w:val="000000" w:themeColor="text1"/>
          <w:sz w:val="24"/>
          <w:szCs w:val="24"/>
        </w:rPr>
        <w:t>Kata Kunci:</w:t>
      </w:r>
      <w:r w:rsidRPr="00587D42">
        <w:rPr>
          <w:rFonts w:ascii="Times New Roman" w:hAnsi="Times New Roman" w:cs="Times New Roman"/>
          <w:bCs/>
          <w:color w:val="000000" w:themeColor="text1"/>
          <w:sz w:val="24"/>
          <w:szCs w:val="24"/>
        </w:rPr>
        <w:t xml:space="preserve"> Modul Ajar Matematika, Model Pembelajaran TGT, Pendekatan ICARE</w:t>
      </w:r>
    </w:p>
    <w:p w14:paraId="71AAE8DC" w14:textId="77777777" w:rsidR="005C2754" w:rsidRPr="00587D42" w:rsidRDefault="005C2754" w:rsidP="005C2754">
      <w:pPr>
        <w:spacing w:after="0" w:line="240" w:lineRule="auto"/>
        <w:jc w:val="both"/>
        <w:rPr>
          <w:rFonts w:ascii="Times New Roman" w:hAnsi="Times New Roman" w:cs="Times New Roman"/>
          <w:bCs/>
          <w:color w:val="000000" w:themeColor="text1"/>
          <w:sz w:val="24"/>
          <w:szCs w:val="24"/>
        </w:rPr>
      </w:pPr>
    </w:p>
    <w:p w14:paraId="51046945" w14:textId="6A362FF5" w:rsidR="005C2754" w:rsidRPr="005C2754" w:rsidRDefault="005C2754" w:rsidP="005C2754">
      <w:pPr>
        <w:spacing w:after="0" w:line="240" w:lineRule="auto"/>
        <w:jc w:val="both"/>
        <w:rPr>
          <w:rFonts w:ascii="Times New Roman" w:hAnsi="Times New Roman" w:cs="Times New Roman"/>
          <w:bCs/>
          <w:color w:val="000000" w:themeColor="text1"/>
          <w:sz w:val="24"/>
          <w:szCs w:val="24"/>
        </w:rPr>
      </w:pPr>
      <w:r w:rsidRPr="00587D42">
        <w:rPr>
          <w:rFonts w:ascii="Times New Roman" w:hAnsi="Times New Roman" w:cs="Times New Roman"/>
          <w:sz w:val="24"/>
          <w:szCs w:val="24"/>
        </w:rPr>
        <w:t xml:space="preserve">Pembelajaran matematika sering dianggap sulit oleh peserta didik, sehingga menurunkan minat serta keterlibatan aktif mereka dalam proses pembelajaran. Hal ini dilihat dengan kondisi pembelajaran di sekolah yang masih cenderung monoton, kurang bervariasi, dan minim penggunaan bahan ajar yang menarik, sehingga siswa kurang termotivasi untuk belajar secara mandiri maupun aktif. Untuk mengatasi permasalahan tersebut, perlu dikembangkan modul pembelajaran yang interaktif, kontekstual, serta mampu melibatkan siswa secara langsung. Salah satu alternatif yang dapat digunakan adalah pengembangan modul pembelajaran menggunakan model </w:t>
      </w:r>
      <w:r w:rsidRPr="00587D42">
        <w:rPr>
          <w:rStyle w:val="Emphasis"/>
          <w:rFonts w:ascii="Times New Roman" w:hAnsi="Times New Roman" w:cs="Times New Roman"/>
          <w:sz w:val="24"/>
          <w:szCs w:val="24"/>
        </w:rPr>
        <w:t>Teams Games Tournament</w:t>
      </w:r>
      <w:r w:rsidRPr="00587D42">
        <w:rPr>
          <w:rFonts w:ascii="Times New Roman" w:hAnsi="Times New Roman" w:cs="Times New Roman"/>
          <w:sz w:val="24"/>
          <w:szCs w:val="24"/>
        </w:rPr>
        <w:t xml:space="preserve"> (TGT) yang dipadukan dengan pendekatan ICARE (</w:t>
      </w:r>
      <w:r w:rsidRPr="00587D42">
        <w:rPr>
          <w:rFonts w:ascii="Times New Roman" w:hAnsi="Times New Roman" w:cs="Times New Roman"/>
          <w:i/>
          <w:sz w:val="24"/>
          <w:szCs w:val="24"/>
        </w:rPr>
        <w:t>Introduction, Connection, Application, Reflection, Extension</w:t>
      </w:r>
      <w:r w:rsidRPr="00587D42">
        <w:rPr>
          <w:rFonts w:ascii="Times New Roman" w:hAnsi="Times New Roman" w:cs="Times New Roman"/>
          <w:sz w:val="24"/>
          <w:szCs w:val="24"/>
        </w:rPr>
        <w:t xml:space="preserve">). Model TGT diyakini dapat menciptakan suasana belajar yang lebih menyenangkan dan kompetitif melalui aktivitas permainan dan turnamen, sedangkan pendekatan ICARE membantu menyusun pembelajaran secara sistematis dari tahap pengenalan hingga kegiatan lanjutan, sehingga siswa tidak hanya memahami konsep tetapi juga mampu mengaitkan materi dengan kehidupan nyata. Penelitian ini bertujuan menghasilkan modul pembelajaran matematika menggunakan model TGT berbasis ICARE yang valid dan praktis digunakan dalam pembelajaran. Metode penelitian yang digunakan adalah </w:t>
      </w:r>
      <w:r w:rsidRPr="00587D42">
        <w:rPr>
          <w:rStyle w:val="Emphasis"/>
          <w:rFonts w:ascii="Times New Roman" w:hAnsi="Times New Roman" w:cs="Times New Roman"/>
          <w:sz w:val="24"/>
          <w:szCs w:val="24"/>
        </w:rPr>
        <w:t>Research and Development</w:t>
      </w:r>
      <w:r w:rsidRPr="00587D42">
        <w:rPr>
          <w:rFonts w:ascii="Times New Roman" w:hAnsi="Times New Roman" w:cs="Times New Roman"/>
          <w:sz w:val="24"/>
          <w:szCs w:val="24"/>
        </w:rPr>
        <w:t xml:space="preserve"> (R&amp;D) dengan model pengembangan ADDIE, yang mencakup tahap Analisis, Desain, Pengembangan, Implementasi, dan Evaluasi. Subjek penelitian adalah siswa kelas X. Proses validasi dilakukan oleh ahli media dan ahli materi, sedangkan uji kepraktisan diperoleh melalui angket respon peserta didik setelah menggunakan modul dalam pembelajaran. Hasil penelitian menunjukkan bahwa modul pembelajaran yang dikembangkan memenuhi kriteria kelayakan dan kepraktisan. Validasi ahli media memperoleh persentase 89,70% dan validasi ahli materi memperoleh 88%, keduanya termasuk dalam kategori </w:t>
      </w:r>
      <w:r w:rsidRPr="00587D42">
        <w:rPr>
          <w:rStyle w:val="Strong"/>
          <w:rFonts w:ascii="Times New Roman" w:hAnsi="Times New Roman" w:cs="Times New Roman"/>
          <w:sz w:val="24"/>
          <w:szCs w:val="24"/>
        </w:rPr>
        <w:t>sangat valid</w:t>
      </w:r>
      <w:r w:rsidRPr="00587D42">
        <w:rPr>
          <w:rFonts w:ascii="Times New Roman" w:hAnsi="Times New Roman" w:cs="Times New Roman"/>
          <w:b/>
          <w:sz w:val="24"/>
          <w:szCs w:val="24"/>
        </w:rPr>
        <w:t>.</w:t>
      </w:r>
      <w:r w:rsidRPr="00587D42">
        <w:rPr>
          <w:rFonts w:ascii="Times New Roman" w:hAnsi="Times New Roman" w:cs="Times New Roman"/>
          <w:sz w:val="24"/>
          <w:szCs w:val="24"/>
        </w:rPr>
        <w:t xml:space="preserve"> Uji kepraktisan berdasarkan angket respon siswa menunjukkan persentase 90,03% dengan kategori </w:t>
      </w:r>
      <w:r w:rsidRPr="00587D42">
        <w:rPr>
          <w:rStyle w:val="Strong"/>
          <w:rFonts w:ascii="Times New Roman" w:hAnsi="Times New Roman" w:cs="Times New Roman"/>
          <w:sz w:val="24"/>
          <w:szCs w:val="24"/>
        </w:rPr>
        <w:t>sangat praktis</w:t>
      </w:r>
      <w:r w:rsidRPr="00587D42">
        <w:rPr>
          <w:rFonts w:ascii="Times New Roman" w:hAnsi="Times New Roman" w:cs="Times New Roman"/>
          <w:sz w:val="24"/>
          <w:szCs w:val="24"/>
        </w:rPr>
        <w:t>. Temuan ini membuktikan bahwa modul pembelajaran matematika menggunakan model TGT berbasis ICARE layak digunakan dan dapat membantu meningkatkan keterlibatan aktif siswa dalam proses pembelajaran. Dengan demikian, dapat disimpulkan bahwa modul pembelajaran matematika menggunakan model TGT berbasis ICARE yang dikembangkan dalam penelitian ini dinyatakan valid dan praktis, serta mampu menjadi salah satu alternatif bahan ajar yang efektif dalam mendukung peningkatan kualitas pembelajaran matematika, khususnya pada materi statistika di tingkat SMA.</w:t>
      </w:r>
      <w:r>
        <w:rPr>
          <w:rFonts w:ascii="Times New Roman" w:hAnsi="Times New Roman" w:cs="Times New Roman"/>
          <w:b/>
          <w:bCs/>
          <w:i/>
          <w:color w:val="000000" w:themeColor="text1"/>
          <w:sz w:val="24"/>
          <w:szCs w:val="24"/>
        </w:rPr>
        <w:br w:type="page"/>
      </w:r>
    </w:p>
    <w:p w14:paraId="314757EE" w14:textId="77777777" w:rsidR="005C2754" w:rsidRPr="005C2754" w:rsidRDefault="005C2754" w:rsidP="005C2754">
      <w:pPr>
        <w:pStyle w:val="Heading1"/>
        <w:jc w:val="center"/>
        <w:rPr>
          <w:i/>
          <w:iCs/>
          <w:sz w:val="24"/>
          <w:szCs w:val="28"/>
        </w:rPr>
      </w:pPr>
      <w:bookmarkStart w:id="1" w:name="_Toc208995366"/>
      <w:r w:rsidRPr="005C2754">
        <w:rPr>
          <w:i/>
          <w:iCs/>
          <w:sz w:val="24"/>
          <w:szCs w:val="28"/>
        </w:rPr>
        <w:lastRenderedPageBreak/>
        <w:t>ABSTRACT</w:t>
      </w:r>
      <w:bookmarkEnd w:id="1"/>
    </w:p>
    <w:p w14:paraId="19051377" w14:textId="77777777" w:rsidR="005C2754" w:rsidRPr="00587D42" w:rsidRDefault="005C2754" w:rsidP="005C2754">
      <w:pPr>
        <w:spacing w:after="0" w:line="240" w:lineRule="auto"/>
        <w:rPr>
          <w:rFonts w:ascii="Times New Roman" w:hAnsi="Times New Roman" w:cs="Times New Roman"/>
          <w:b/>
          <w:bCs/>
          <w:color w:val="000000" w:themeColor="text1"/>
          <w:sz w:val="24"/>
          <w:szCs w:val="24"/>
        </w:rPr>
      </w:pPr>
    </w:p>
    <w:p w14:paraId="72C87313" w14:textId="77777777" w:rsidR="005C2754" w:rsidRPr="00587D42" w:rsidRDefault="005C2754" w:rsidP="005C2754">
      <w:pPr>
        <w:spacing w:after="0" w:line="240" w:lineRule="auto"/>
        <w:jc w:val="both"/>
        <w:rPr>
          <w:rFonts w:ascii="Times New Roman" w:hAnsi="Times New Roman" w:cs="Times New Roman"/>
          <w:bCs/>
          <w:color w:val="000000" w:themeColor="text1"/>
          <w:sz w:val="24"/>
          <w:szCs w:val="24"/>
        </w:rPr>
      </w:pPr>
      <w:r w:rsidRPr="00587D42">
        <w:rPr>
          <w:rFonts w:ascii="Times New Roman" w:hAnsi="Times New Roman" w:cs="Times New Roman"/>
          <w:b/>
          <w:bCs/>
          <w:color w:val="000000" w:themeColor="text1"/>
          <w:sz w:val="24"/>
          <w:szCs w:val="24"/>
        </w:rPr>
        <w:t xml:space="preserve">Amalia, Hami Zatul 2025. </w:t>
      </w:r>
      <w:r w:rsidRPr="00587D42">
        <w:rPr>
          <w:rFonts w:ascii="Times New Roman" w:hAnsi="Times New Roman" w:cs="Times New Roman"/>
          <w:bCs/>
          <w:i/>
          <w:color w:val="000000" w:themeColor="text1"/>
          <w:sz w:val="24"/>
          <w:szCs w:val="24"/>
        </w:rPr>
        <w:t>Development of Mathematics Learning Module Using ICARE-Based TGT Model for Class X. Mathematics Education. Peradaban University.</w:t>
      </w:r>
      <w:r w:rsidRPr="00587D42">
        <w:rPr>
          <w:rFonts w:ascii="Times New Roman" w:hAnsi="Times New Roman" w:cs="Times New Roman"/>
          <w:bCs/>
          <w:color w:val="000000" w:themeColor="text1"/>
          <w:sz w:val="24"/>
          <w:szCs w:val="24"/>
        </w:rPr>
        <w:t xml:space="preserve"> Dian Purwaningsih, M.Pd.</w:t>
      </w:r>
    </w:p>
    <w:p w14:paraId="0EF39E9C" w14:textId="77777777" w:rsidR="005C2754" w:rsidRPr="00587D42" w:rsidRDefault="005C2754" w:rsidP="005C2754">
      <w:pPr>
        <w:spacing w:after="0" w:line="240" w:lineRule="auto"/>
        <w:jc w:val="both"/>
        <w:rPr>
          <w:rFonts w:ascii="Times New Roman" w:hAnsi="Times New Roman" w:cs="Times New Roman"/>
          <w:bCs/>
          <w:color w:val="000000" w:themeColor="text1"/>
          <w:sz w:val="24"/>
          <w:szCs w:val="24"/>
        </w:rPr>
      </w:pPr>
    </w:p>
    <w:p w14:paraId="33188025" w14:textId="77777777" w:rsidR="005C2754" w:rsidRPr="00587D42" w:rsidRDefault="005C2754" w:rsidP="005C2754">
      <w:pPr>
        <w:spacing w:after="0" w:line="240" w:lineRule="auto"/>
        <w:jc w:val="both"/>
        <w:rPr>
          <w:rFonts w:ascii="Times New Roman" w:hAnsi="Times New Roman" w:cs="Times New Roman"/>
          <w:bCs/>
          <w:i/>
          <w:color w:val="000000" w:themeColor="text1"/>
          <w:sz w:val="24"/>
          <w:szCs w:val="24"/>
        </w:rPr>
      </w:pPr>
      <w:r w:rsidRPr="005C2754">
        <w:rPr>
          <w:rFonts w:ascii="Times New Roman" w:hAnsi="Times New Roman" w:cs="Times New Roman"/>
          <w:b/>
          <w:i/>
          <w:color w:val="000000" w:themeColor="text1"/>
          <w:sz w:val="24"/>
          <w:szCs w:val="24"/>
        </w:rPr>
        <w:t>Keywords:</w:t>
      </w:r>
      <w:r w:rsidRPr="00587D42">
        <w:rPr>
          <w:rFonts w:ascii="Times New Roman" w:hAnsi="Times New Roman" w:cs="Times New Roman"/>
          <w:bCs/>
          <w:i/>
          <w:color w:val="000000" w:themeColor="text1"/>
          <w:sz w:val="24"/>
          <w:szCs w:val="24"/>
        </w:rPr>
        <w:t xml:space="preserve"> Mathematics Teaching Module, TGT Learning Model, ICARE Approach</w:t>
      </w:r>
    </w:p>
    <w:p w14:paraId="4DF8CB21" w14:textId="77777777" w:rsidR="005C2754" w:rsidRPr="00587D42" w:rsidRDefault="005C2754" w:rsidP="005C2754">
      <w:pPr>
        <w:spacing w:after="0" w:line="240" w:lineRule="auto"/>
        <w:jc w:val="both"/>
        <w:rPr>
          <w:rFonts w:ascii="Times New Roman" w:hAnsi="Times New Roman" w:cs="Times New Roman"/>
          <w:bCs/>
          <w:i/>
          <w:color w:val="000000" w:themeColor="text1"/>
          <w:sz w:val="24"/>
          <w:szCs w:val="24"/>
        </w:rPr>
      </w:pPr>
    </w:p>
    <w:p w14:paraId="5C9599F6" w14:textId="77777777" w:rsidR="005C2754" w:rsidRPr="00587D42" w:rsidRDefault="005C2754" w:rsidP="005C2754">
      <w:pPr>
        <w:spacing w:after="0" w:line="240" w:lineRule="auto"/>
        <w:jc w:val="both"/>
        <w:rPr>
          <w:rFonts w:ascii="Times New Roman" w:hAnsi="Times New Roman" w:cs="Times New Roman"/>
          <w:bCs/>
          <w:i/>
          <w:color w:val="000000" w:themeColor="text1"/>
          <w:sz w:val="24"/>
          <w:szCs w:val="24"/>
        </w:rPr>
      </w:pPr>
      <w:r w:rsidRPr="00587D42">
        <w:rPr>
          <w:rFonts w:ascii="Times New Roman" w:hAnsi="Times New Roman" w:cs="Times New Roman"/>
          <w:bCs/>
          <w:i/>
          <w:color w:val="000000" w:themeColor="text1"/>
          <w:sz w:val="24"/>
          <w:szCs w:val="24"/>
        </w:rPr>
        <w:t>Mathematics learning is often considered difficult by students, thus decreasing their interest and active involvement in the learning process. This is seen in the learning conditions in schools which still tend to be monotonous, lack variety, and minimal use of interesting teaching materials, so that students are less motivated to learn independently or actively. To overcome this problem, it is necessary to develop learning modules that are interactive, contextual, and able to directly involve students. One alternative that can be used is the development of learning modules using the Teams Games Tournament (TGT) model combined with the ICARE approach (Introduction, Connection, Application, Reflection, Extension). The TGT model is believed to create a more enjoyable and competitive learning atmosphere through game activities and tournaments, while the ICARE approach helps organize learning systematically from the introductory stage to advanced activities, so that students not only understand the concepts but are also able to relate the material to real life. This study aims to produce a mathematics learning module using the ICARE-based TGT model that is valid and practical for use in learning. The research method used is Research and Development (R&amp;D) with the ADDIE development model, which includes the stages of Analysis, Design, Development, Implementation, and Evaluation. The research subjects were grade X students. The validation process was carried out by media experts and material experts, while the practicality test was obtained through student response questionnaires after using the module in learning. The results of the study showed that the developed learning module met the criteria of feasibility and practicality. Media expert validation obtained a percentage of 89.70% and material expert validation obtained 88%, both included in the very valid category. The practicality test based on the student response questionnaire showed a percentage of 90.03% with a very practical category. These findings prove that the mathematics learning module using the ICARE-based TGT model is feasible to use and can help increase students' active involvement in the learning process. Thus, it can be concluded that the mathematics learning module using the ICARE-based TGT model developed in this study is declared valid and practical, and is able to be an alternative effective teaching material in supporting the improvement of the quality of mathematics learning, especially in statistics material at the high school level.</w:t>
      </w:r>
    </w:p>
    <w:p w14:paraId="72405E90" w14:textId="77777777" w:rsidR="005C2754" w:rsidRPr="00587D42" w:rsidRDefault="005C2754" w:rsidP="005C2754">
      <w:pPr>
        <w:spacing w:after="0" w:line="480" w:lineRule="auto"/>
        <w:jc w:val="center"/>
        <w:rPr>
          <w:rFonts w:ascii="Times New Roman" w:hAnsi="Times New Roman" w:cs="Times New Roman"/>
          <w:b/>
          <w:bCs/>
          <w:color w:val="000000" w:themeColor="text1"/>
          <w:sz w:val="24"/>
          <w:szCs w:val="24"/>
        </w:rPr>
      </w:pPr>
    </w:p>
    <w:p w14:paraId="59DEFFD2" w14:textId="7F1CD3D1" w:rsidR="00C839C1" w:rsidRPr="005C2754" w:rsidRDefault="00C839C1" w:rsidP="005C2754"/>
    <w:sectPr w:rsidR="00C839C1" w:rsidRPr="005C2754" w:rsidSect="00103FCF">
      <w:pgSz w:w="11906" w:h="16838" w:code="9"/>
      <w:pgMar w:top="2268" w:right="1701" w:bottom="1701" w:left="2268" w:header="624" w:footer="709"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D311D" w14:textId="77777777" w:rsidR="006B60C3" w:rsidRDefault="006B60C3" w:rsidP="00C1257F">
      <w:pPr>
        <w:spacing w:after="0" w:line="240" w:lineRule="auto"/>
      </w:pPr>
      <w:r>
        <w:separator/>
      </w:r>
    </w:p>
  </w:endnote>
  <w:endnote w:type="continuationSeparator" w:id="0">
    <w:p w14:paraId="16636CF2" w14:textId="77777777" w:rsidR="006B60C3" w:rsidRDefault="006B60C3" w:rsidP="00C1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552ED" w14:textId="77777777" w:rsidR="006B60C3" w:rsidRDefault="006B60C3" w:rsidP="00C1257F">
      <w:pPr>
        <w:spacing w:after="0" w:line="240" w:lineRule="auto"/>
      </w:pPr>
      <w:r>
        <w:separator/>
      </w:r>
    </w:p>
  </w:footnote>
  <w:footnote w:type="continuationSeparator" w:id="0">
    <w:p w14:paraId="31F7505F" w14:textId="77777777" w:rsidR="006B60C3" w:rsidRDefault="006B60C3" w:rsidP="00C12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73"/>
    <w:rsid w:val="00103FCF"/>
    <w:rsid w:val="0014756A"/>
    <w:rsid w:val="00207F0F"/>
    <w:rsid w:val="0022117D"/>
    <w:rsid w:val="00234F27"/>
    <w:rsid w:val="002D58AE"/>
    <w:rsid w:val="00524DD5"/>
    <w:rsid w:val="005C2754"/>
    <w:rsid w:val="00651778"/>
    <w:rsid w:val="006B60C3"/>
    <w:rsid w:val="00825479"/>
    <w:rsid w:val="008D2E24"/>
    <w:rsid w:val="00942D2E"/>
    <w:rsid w:val="009D7E59"/>
    <w:rsid w:val="00AA0C83"/>
    <w:rsid w:val="00BC2BE7"/>
    <w:rsid w:val="00C1257F"/>
    <w:rsid w:val="00C82708"/>
    <w:rsid w:val="00C839C1"/>
    <w:rsid w:val="00C9437B"/>
    <w:rsid w:val="00D14A36"/>
    <w:rsid w:val="00DE5692"/>
    <w:rsid w:val="00E66B13"/>
    <w:rsid w:val="00E672E3"/>
    <w:rsid w:val="00EB2F73"/>
    <w:rsid w:val="00F53B10"/>
    <w:rsid w:val="00FB49BA"/>
    <w:rsid w:val="00FF11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D2701"/>
  <w15:chartTrackingRefBased/>
  <w15:docId w15:val="{731CCC79-9B81-425A-8200-70B8B775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F73"/>
  </w:style>
  <w:style w:type="paragraph" w:styleId="Heading1">
    <w:name w:val="heading 1"/>
    <w:basedOn w:val="Normal"/>
    <w:next w:val="Normal"/>
    <w:link w:val="Heading1Char"/>
    <w:uiPriority w:val="9"/>
    <w:qFormat/>
    <w:rsid w:val="00D14A36"/>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D14A36"/>
    <w:pPr>
      <w:keepNext/>
      <w:keepLines/>
      <w:spacing w:before="40" w:after="0"/>
      <w:outlineLvl w:val="1"/>
    </w:pPr>
    <w:rPr>
      <w:rFonts w:ascii="Times New Roman" w:eastAsiaTheme="majorEastAsia" w:hAnsi="Times New Roman" w:cstheme="majorBidi"/>
      <w:b/>
      <w:sz w:val="24"/>
      <w:szCs w:val="26"/>
    </w:rPr>
  </w:style>
  <w:style w:type="paragraph" w:styleId="Heading4">
    <w:name w:val="heading 4"/>
    <w:basedOn w:val="Normal"/>
    <w:next w:val="Normal"/>
    <w:link w:val="Heading4Char"/>
    <w:uiPriority w:val="9"/>
    <w:semiHidden/>
    <w:unhideWhenUsed/>
    <w:qFormat/>
    <w:rsid w:val="00103F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A36"/>
    <w:rPr>
      <w:rFonts w:ascii="Times New Roman" w:eastAsiaTheme="majorEastAsia" w:hAnsi="Times New Roman" w:cstheme="majorBidi"/>
      <w:b/>
      <w:sz w:val="28"/>
      <w:szCs w:val="32"/>
      <w:lang w:val="en-US"/>
    </w:rPr>
  </w:style>
  <w:style w:type="character" w:customStyle="1" w:styleId="Heading2Char">
    <w:name w:val="Heading 2 Char"/>
    <w:basedOn w:val="DefaultParagraphFont"/>
    <w:link w:val="Heading2"/>
    <w:uiPriority w:val="9"/>
    <w:rsid w:val="00D14A36"/>
    <w:rPr>
      <w:rFonts w:ascii="Times New Roman" w:eastAsiaTheme="majorEastAsia" w:hAnsi="Times New Roman" w:cstheme="majorBidi"/>
      <w:b/>
      <w:sz w:val="24"/>
      <w:szCs w:val="26"/>
    </w:rPr>
  </w:style>
  <w:style w:type="paragraph" w:styleId="TableofFigures">
    <w:name w:val="table of figures"/>
    <w:basedOn w:val="Normal"/>
    <w:next w:val="Normal"/>
    <w:autoRedefine/>
    <w:uiPriority w:val="99"/>
    <w:unhideWhenUsed/>
    <w:rsid w:val="008D2E24"/>
    <w:pPr>
      <w:tabs>
        <w:tab w:val="left" w:pos="0"/>
        <w:tab w:val="left" w:pos="426"/>
        <w:tab w:val="left" w:pos="1985"/>
        <w:tab w:val="right" w:pos="7927"/>
      </w:tabs>
      <w:spacing w:after="0" w:line="480" w:lineRule="auto"/>
      <w:ind w:left="993" w:hanging="993"/>
    </w:pPr>
    <w:rPr>
      <w:rFonts w:ascii="Times New Roman" w:hAnsi="Times New Roman"/>
      <w:sz w:val="24"/>
      <w:szCs w:val="20"/>
    </w:rPr>
  </w:style>
  <w:style w:type="paragraph" w:styleId="ListParagraph">
    <w:name w:val="List Paragraph"/>
    <w:basedOn w:val="Normal"/>
    <w:uiPriority w:val="1"/>
    <w:qFormat/>
    <w:rsid w:val="00EB2F73"/>
    <w:pPr>
      <w:ind w:left="720"/>
      <w:contextualSpacing/>
    </w:pPr>
  </w:style>
  <w:style w:type="character" w:styleId="Strong">
    <w:name w:val="Strong"/>
    <w:basedOn w:val="DefaultParagraphFont"/>
    <w:uiPriority w:val="22"/>
    <w:qFormat/>
    <w:rsid w:val="00EB2F73"/>
    <w:rPr>
      <w:b/>
      <w:bCs/>
    </w:rPr>
  </w:style>
  <w:style w:type="character" w:styleId="Emphasis">
    <w:name w:val="Emphasis"/>
    <w:basedOn w:val="DefaultParagraphFont"/>
    <w:uiPriority w:val="20"/>
    <w:qFormat/>
    <w:rsid w:val="00EB2F73"/>
    <w:rPr>
      <w:i/>
      <w:iCs/>
    </w:rPr>
  </w:style>
  <w:style w:type="paragraph" w:styleId="Footer">
    <w:name w:val="footer"/>
    <w:basedOn w:val="Normal"/>
    <w:link w:val="FooterChar"/>
    <w:uiPriority w:val="99"/>
    <w:unhideWhenUsed/>
    <w:rsid w:val="00EB2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F73"/>
  </w:style>
  <w:style w:type="paragraph" w:styleId="Header">
    <w:name w:val="header"/>
    <w:basedOn w:val="Normal"/>
    <w:link w:val="HeaderChar"/>
    <w:uiPriority w:val="99"/>
    <w:unhideWhenUsed/>
    <w:rsid w:val="00C12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57F"/>
  </w:style>
  <w:style w:type="table" w:styleId="TableGrid">
    <w:name w:val="Table Grid"/>
    <w:basedOn w:val="TableNormal"/>
    <w:uiPriority w:val="39"/>
    <w:rsid w:val="00BC2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2BE7"/>
    <w:pPr>
      <w:spacing w:after="200" w:line="240" w:lineRule="auto"/>
    </w:pPr>
    <w:rPr>
      <w:i/>
      <w:iCs/>
      <w:color w:val="44546A" w:themeColor="text2"/>
      <w:sz w:val="18"/>
      <w:szCs w:val="18"/>
    </w:rPr>
  </w:style>
  <w:style w:type="character" w:customStyle="1" w:styleId="agcmg">
    <w:name w:val="a_gcmg"/>
    <w:basedOn w:val="DefaultParagraphFont"/>
    <w:rsid w:val="00942D2E"/>
  </w:style>
  <w:style w:type="character" w:styleId="Hyperlink">
    <w:name w:val="Hyperlink"/>
    <w:basedOn w:val="DefaultParagraphFont"/>
    <w:uiPriority w:val="99"/>
    <w:unhideWhenUsed/>
    <w:rsid w:val="00103FCF"/>
    <w:rPr>
      <w:color w:val="0563C1" w:themeColor="hyperlink"/>
      <w:u w:val="single"/>
    </w:rPr>
  </w:style>
  <w:style w:type="character" w:customStyle="1" w:styleId="Heading4Char">
    <w:name w:val="Heading 4 Char"/>
    <w:basedOn w:val="DefaultParagraphFont"/>
    <w:link w:val="Heading4"/>
    <w:uiPriority w:val="9"/>
    <w:semiHidden/>
    <w:rsid w:val="00103FCF"/>
    <w:rPr>
      <w:rFonts w:asciiTheme="majorHAnsi" w:eastAsiaTheme="majorEastAsia" w:hAnsiTheme="majorHAnsi" w:cstheme="majorBidi"/>
      <w:i/>
      <w:iCs/>
      <w:color w:val="2F5496" w:themeColor="accent1" w:themeShade="BF"/>
    </w:rPr>
  </w:style>
  <w:style w:type="paragraph" w:customStyle="1" w:styleId="ListParagraph1">
    <w:name w:val="List Paragraph1"/>
    <w:basedOn w:val="Normal"/>
    <w:uiPriority w:val="34"/>
    <w:qFormat/>
    <w:rsid w:val="00103FCF"/>
    <w:pPr>
      <w:ind w:left="720"/>
      <w:contextualSpacing/>
    </w:pPr>
    <w:rPr>
      <w:lang w:val="zh-CN"/>
    </w:rPr>
  </w:style>
  <w:style w:type="character" w:styleId="PlaceholderText">
    <w:name w:val="Placeholder Text"/>
    <w:basedOn w:val="DefaultParagraphFont"/>
    <w:uiPriority w:val="99"/>
    <w:semiHidden/>
    <w:rsid w:val="00103FCF"/>
    <w:rPr>
      <w:color w:val="808080"/>
    </w:rPr>
  </w:style>
  <w:style w:type="paragraph" w:styleId="NormalWeb">
    <w:name w:val="Normal (Web)"/>
    <w:basedOn w:val="Normal"/>
    <w:uiPriority w:val="99"/>
    <w:semiHidden/>
    <w:unhideWhenUsed/>
    <w:rsid w:val="00103F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03FCF"/>
    <w:rPr>
      <w:color w:val="605E5C"/>
      <w:shd w:val="clear" w:color="auto" w:fill="E1DFDD"/>
    </w:rPr>
  </w:style>
  <w:style w:type="paragraph" w:styleId="TOCHeading">
    <w:name w:val="TOC Heading"/>
    <w:basedOn w:val="Heading1"/>
    <w:next w:val="Normal"/>
    <w:uiPriority w:val="39"/>
    <w:unhideWhenUsed/>
    <w:qFormat/>
    <w:rsid w:val="00103FCF"/>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103FCF"/>
    <w:pPr>
      <w:tabs>
        <w:tab w:val="right" w:leader="dot" w:pos="7927"/>
      </w:tabs>
      <w:spacing w:after="100" w:line="48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103FCF"/>
    <w:pPr>
      <w:spacing w:after="100"/>
      <w:ind w:left="220"/>
    </w:pPr>
  </w:style>
  <w:style w:type="paragraph" w:styleId="BodyText">
    <w:name w:val="Body Text"/>
    <w:basedOn w:val="Normal"/>
    <w:link w:val="BodyTextChar"/>
    <w:uiPriority w:val="1"/>
    <w:qFormat/>
    <w:rsid w:val="00103FC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03FCF"/>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cp:revision>
  <cp:lastPrinted>2025-10-11T09:44:00Z</cp:lastPrinted>
  <dcterms:created xsi:type="dcterms:W3CDTF">2025-10-11T08:40:00Z</dcterms:created>
  <dcterms:modified xsi:type="dcterms:W3CDTF">2025-10-11T09:45:00Z</dcterms:modified>
</cp:coreProperties>
</file>