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rPr/>
      </w:pPr>
      <w:bookmarkStart w:colFirst="0" w:colLast="0" w:name="_7r3lp9o9onyi" w:id="0"/>
      <w:bookmarkEnd w:id="0"/>
      <w:r w:rsidDel="00000000" w:rsidR="00000000" w:rsidRPr="00000000">
        <w:rPr>
          <w:rtl w:val="0"/>
        </w:rPr>
        <w:t xml:space="preserve">ABSTRAK</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SISKA AULIA</w:t>
      </w:r>
      <w:r w:rsidDel="00000000" w:rsidR="00000000" w:rsidRPr="00000000">
        <w:rPr>
          <w:rFonts w:ascii="Times New Roman" w:cs="Times New Roman" w:eastAsia="Times New Roman" w:hAnsi="Times New Roman"/>
          <w:sz w:val="24"/>
          <w:szCs w:val="24"/>
          <w:rtl w:val="0"/>
        </w:rPr>
        <w:t xml:space="preserve">. 2025. </w:t>
      </w:r>
      <w:r w:rsidDel="00000000" w:rsidR="00000000" w:rsidRPr="00000000">
        <w:rPr>
          <w:rFonts w:ascii="Times New Roman" w:cs="Times New Roman" w:eastAsia="Times New Roman" w:hAnsi="Times New Roman"/>
          <w:i w:val="1"/>
          <w:sz w:val="24"/>
          <w:szCs w:val="24"/>
          <w:rtl w:val="0"/>
        </w:rPr>
        <w:t xml:space="preserve">PENGARUH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VARIASI KONSENTRASI PROPILEN GLIKOL TERHADAP SIFAT FISIK EKSTRAK DAUN KENIKIR (Cosmos caudatus </w:t>
      </w:r>
      <w:r w:rsidDel="00000000" w:rsidR="00000000" w:rsidRPr="00000000">
        <w:rPr>
          <w:rFonts w:ascii="Times New Roman" w:cs="Times New Roman" w:eastAsia="Times New Roman" w:hAnsi="Times New Roman"/>
          <w:sz w:val="24"/>
          <w:szCs w:val="24"/>
          <w:rtl w:val="0"/>
        </w:rPr>
        <w:t xml:space="preserve">Kunth</w:t>
      </w:r>
      <w:r w:rsidDel="00000000" w:rsidR="00000000" w:rsidRPr="00000000">
        <w:rPr>
          <w:rFonts w:ascii="Times New Roman" w:cs="Times New Roman" w:eastAsia="Times New Roman" w:hAnsi="Times New Roman"/>
          <w:i w:val="1"/>
          <w:sz w:val="24"/>
          <w:szCs w:val="24"/>
          <w:rtl w:val="0"/>
        </w:rPr>
        <w:t xml:space="preserve">) SEBAGAI ANTIOKSIDAN</w:t>
      </w:r>
      <w:r w:rsidDel="00000000" w:rsidR="00000000" w:rsidRPr="00000000">
        <w:rPr>
          <w:rFonts w:ascii="Times New Roman" w:cs="Times New Roman" w:eastAsia="Times New Roman" w:hAnsi="Times New Roman"/>
          <w:sz w:val="24"/>
          <w:szCs w:val="24"/>
          <w:rtl w:val="0"/>
        </w:rPr>
        <w:t xml:space="preserve">. SKRIPSI. PROGRAM STUDI FARMASI. UNIVERSITAS PERADABAN.</w:t>
      </w:r>
    </w:p>
    <w:p w:rsidR="00000000" w:rsidDel="00000000" w:rsidP="00000000" w:rsidRDefault="00000000" w:rsidRPr="00000000" w14:paraId="00000006">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Daun kenikir (</w:t>
      </w:r>
      <w:r w:rsidDel="00000000" w:rsidR="00000000" w:rsidRPr="00000000">
        <w:rPr>
          <w:rFonts w:ascii="Times New Roman" w:cs="Times New Roman" w:eastAsia="Times New Roman" w:hAnsi="Times New Roman"/>
          <w:i w:val="1"/>
          <w:sz w:val="24"/>
          <w:szCs w:val="24"/>
          <w:rtl w:val="0"/>
        </w:rPr>
        <w:t xml:space="preserve">Cosmos caudatus Kunth</w:t>
      </w:r>
      <w:r w:rsidDel="00000000" w:rsidR="00000000" w:rsidRPr="00000000">
        <w:rPr>
          <w:rFonts w:ascii="Times New Roman" w:cs="Times New Roman" w:eastAsia="Times New Roman" w:hAnsi="Times New Roman"/>
          <w:sz w:val="24"/>
          <w:szCs w:val="24"/>
          <w:rtl w:val="0"/>
        </w:rPr>
        <w:t xml:space="preserve">) diketahui memiliki kandungan flavonoid dan senyawa metabolit sekunder lainnya yang bersifat antioksidan. Penelitian ini bertujuan untuk mengetahui pengaruh variasi konsentrasi propilen glikol terhadap sifat fisik serum ekstrak daun kenikir serta aktivitas antioksidannya. Serum diformulasikan dengan ekstrak daun kenikir 5% dan tiga variasi konsentrasi propilen glikol, yaitu 15%, 20%, dan 25%. Evaluasi fisik dilakukan meliputi uji organoleptis, homogenitas, pH, viskositas, daya sebar, dan daya lekat. Aktivitas antioksidan diuji menggunakan metode DPPH dan dinyatakan dalam nilai IC₅₀. Hasil evaluasi dianalisis secara statistik menggunakan ANOVA satu arah atau uji non-parametrik sesuai distribusi data. Hasil penelitian menunjukkan bahwa variasi propilen glikol tidak berpengaruh terhadap tampilan visual serum (organoleptis, homogenitas, viskositas, daya sebar, dan daya lekat), namun berpengaruh secara signifikan terhadap pH sediaan. Uji aktivitas antioksidan menunjukkan bahwa serum ekstrak daun kenikir memiliki nilai IC₅₀ sebesar 31,923 µg/mL yang termasuk dalam kategori antioksidan kuat (IC₅₀ &lt; 50 ppm), meskipun lebih tinggi dibandingkan vitamin C dengan nilai IC₅₀ sebesar 15,135 µg/mL. Dengan demikian, serum ekstrak daun kenikir berpotensi dikembangkan sebagai sediaan kosmetik topikal berbahan alam dengan aktivitas antioksidan yang kuat.</w:t>
      </w:r>
    </w:p>
    <w:p w:rsidR="00000000" w:rsidDel="00000000" w:rsidP="00000000" w:rsidRDefault="00000000" w:rsidRPr="00000000" w14:paraId="00000008">
      <w:pPr>
        <w:spacing w:after="16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 kunci:  serum, daun kenikir, propilen glikol, sifat fisik, antioksidan, DPPH.</w:t>
      </w:r>
    </w:p>
    <w:p w:rsidR="00000000" w:rsidDel="00000000" w:rsidP="00000000" w:rsidRDefault="00000000" w:rsidRPr="00000000" w14:paraId="0000000A">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160" w:line="259" w:lineRule="auto"/>
        <w:rPr>
          <w:rFonts w:ascii="Times New Roman" w:cs="Times New Roman" w:eastAsia="Times New Roman" w:hAnsi="Times New Roman"/>
          <w:sz w:val="24"/>
          <w:szCs w:val="24"/>
        </w:rPr>
        <w:sectPr>
          <w:headerReference r:id="rId6" w:type="first"/>
          <w:footerReference r:id="rId7" w:type="default"/>
          <w:footerReference r:id="rId8" w:type="first"/>
          <w:pgSz w:h="16838" w:w="11906" w:orient="portrait"/>
          <w:pgMar w:bottom="1700.7874015748032" w:top="2267.716535433071" w:left="2267.716535433071" w:right="1700.7874015748032" w:header="720" w:footer="720"/>
          <w:pgNumType w:start="1"/>
          <w:titlePg w:val="1"/>
        </w:sectPr>
      </w:pPr>
      <w:r w:rsidDel="00000000" w:rsidR="00000000" w:rsidRPr="00000000">
        <w:rPr>
          <w:rtl w:val="0"/>
        </w:rPr>
      </w:r>
    </w:p>
    <w:p w:rsidR="00000000" w:rsidDel="00000000" w:rsidP="00000000" w:rsidRDefault="00000000" w:rsidRPr="00000000" w14:paraId="0000000D">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Style w:val="Heading1"/>
        <w:keepNext w:val="0"/>
        <w:keepLines w:val="0"/>
        <w:spacing w:line="240" w:lineRule="auto"/>
        <w:rPr>
          <w:i w:val="1"/>
        </w:rPr>
      </w:pPr>
      <w:bookmarkStart w:colFirst="0" w:colLast="0" w:name="_b1329d234s5s" w:id="1"/>
      <w:bookmarkEnd w:id="1"/>
      <w:r w:rsidDel="00000000" w:rsidR="00000000" w:rsidRPr="00000000">
        <w:rPr>
          <w:i w:val="1"/>
          <w:rtl w:val="0"/>
        </w:rPr>
        <w:t xml:space="preserve">ABSTRACT</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SISKA AULIA. 2025. </w:t>
      </w:r>
      <w:r w:rsidDel="00000000" w:rsidR="00000000" w:rsidRPr="00000000">
        <w:rPr>
          <w:rFonts w:ascii="Times New Roman" w:cs="Times New Roman" w:eastAsia="Times New Roman" w:hAnsi="Times New Roman"/>
          <w:i w:val="1"/>
          <w:sz w:val="24"/>
          <w:szCs w:val="24"/>
          <w:rtl w:val="0"/>
        </w:rPr>
        <w:t xml:space="preserve">THE EFFECT OF PROPYLENE GLYCOL VARIATION ON SERUM EXTRACT OF KENIKIR LEAVES (Cosmos caudatus </w:t>
      </w:r>
      <w:r w:rsidDel="00000000" w:rsidR="00000000" w:rsidRPr="00000000">
        <w:rPr>
          <w:rFonts w:ascii="Times New Roman" w:cs="Times New Roman" w:eastAsia="Times New Roman" w:hAnsi="Times New Roman"/>
          <w:sz w:val="24"/>
          <w:szCs w:val="24"/>
          <w:rtl w:val="0"/>
        </w:rPr>
        <w:t xml:space="preserve">Kunth</w:t>
      </w:r>
      <w:r w:rsidDel="00000000" w:rsidR="00000000" w:rsidRPr="00000000">
        <w:rPr>
          <w:rFonts w:ascii="Times New Roman" w:cs="Times New Roman" w:eastAsia="Times New Roman" w:hAnsi="Times New Roman"/>
          <w:i w:val="1"/>
          <w:sz w:val="24"/>
          <w:szCs w:val="24"/>
          <w:rtl w:val="0"/>
        </w:rPr>
        <w:t xml:space="preserve">) AS AN ANTIOXIDANT.</w:t>
      </w:r>
      <w:r w:rsidDel="00000000" w:rsidR="00000000" w:rsidRPr="00000000">
        <w:rPr>
          <w:rFonts w:ascii="Times New Roman" w:cs="Times New Roman" w:eastAsia="Times New Roman" w:hAnsi="Times New Roman"/>
          <w:sz w:val="24"/>
          <w:szCs w:val="24"/>
          <w:rtl w:val="0"/>
        </w:rPr>
        <w:t xml:space="preserve"> SKRIPSI. PHARMACY STUDY PROGRAM. PERADABAN UNIVERSITY.</w:t>
      </w:r>
    </w:p>
    <w:p w:rsidR="00000000" w:rsidDel="00000000" w:rsidP="00000000" w:rsidRDefault="00000000" w:rsidRPr="00000000" w14:paraId="00000017">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Cosmos caudatus Kunth</w:t>
      </w:r>
      <w:r w:rsidDel="00000000" w:rsidR="00000000" w:rsidRPr="00000000">
        <w:rPr>
          <w:rFonts w:ascii="Times New Roman" w:cs="Times New Roman" w:eastAsia="Times New Roman" w:hAnsi="Times New Roman"/>
          <w:sz w:val="24"/>
          <w:szCs w:val="24"/>
          <w:rtl w:val="0"/>
        </w:rPr>
        <w:t xml:space="preserve"> (kenikir leaves) is known to contain flavonoids and other secondary metabolites with antioxidant activity. This study aims to determine the effect of varying concentrations of propylene glycol on the physical properties and antioxidant activity of kenikir leaf extract serum. The serum was formulated using 5% kenikir leaf extract and three different concentrations of propylene glycol: 15%, 20%, and 25%. The physical characteristics evaluated included organoleptic properties, homogeneity, pH, viscosity, spreadability, and adhesiveness. Antioxidant activity was tested using the DPPH method and expressed as IC₅₀ value. Data were analyzed statistically using one-way ANOVA or non-parametric tests based on the distribution. The results showed that variations in propylene glycol concentration did not affect the visual characteristics of the serum (organoleptic, homogeneity, viscosity, spreadability, and adhesiveness), but had a significant effect on the pH of the formulation. Antioxidant testing revealed that the kenikir leaf extract serum had an IC₅₀ value of 31,923mµg/mL, classified as strong antioxidant activity (IC₅₀ &lt; 50 ppm), although higher than vitamin C with an IC₅₀ value of 15,135 µg/mL. Therefore, kenikir leaf extract serum has potential to be developed as a natural-based topical cosmetic preparation with strong antioxidant activity.</w:t>
      </w:r>
    </w:p>
    <w:p w:rsidR="00000000" w:rsidDel="00000000" w:rsidP="00000000" w:rsidRDefault="00000000" w:rsidRPr="00000000" w14:paraId="00000019">
      <w:pPr>
        <w:spacing w:after="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serum, </w:t>
      </w:r>
      <w:r w:rsidDel="00000000" w:rsidR="00000000" w:rsidRPr="00000000">
        <w:rPr>
          <w:rFonts w:ascii="Times New Roman" w:cs="Times New Roman" w:eastAsia="Times New Roman" w:hAnsi="Times New Roman"/>
          <w:i w:val="1"/>
          <w:sz w:val="24"/>
          <w:szCs w:val="24"/>
          <w:rtl w:val="0"/>
        </w:rPr>
        <w:t xml:space="preserve">Cosmos caudatus</w:t>
      </w:r>
      <w:r w:rsidDel="00000000" w:rsidR="00000000" w:rsidRPr="00000000">
        <w:rPr>
          <w:rFonts w:ascii="Times New Roman" w:cs="Times New Roman" w:eastAsia="Times New Roman" w:hAnsi="Times New Roman"/>
          <w:sz w:val="24"/>
          <w:szCs w:val="24"/>
          <w:rtl w:val="0"/>
        </w:rPr>
        <w:t xml:space="preserve">, propylene glycol, physical properties, antioxidant, DPPH.</w:t>
      </w:r>
    </w:p>
    <w:p w:rsidR="00000000" w:rsidDel="00000000" w:rsidP="00000000" w:rsidRDefault="00000000" w:rsidRPr="00000000" w14:paraId="0000001B">
      <w:pPr>
        <w:spacing w:after="160" w:line="259" w:lineRule="auto"/>
        <w:jc w:val="center"/>
        <w:rPr>
          <w:rFonts w:ascii="Times New Roman" w:cs="Times New Roman" w:eastAsia="Times New Roman" w:hAnsi="Times New Roman"/>
          <w:sz w:val="24"/>
          <w:szCs w:val="24"/>
        </w:rPr>
      </w:pPr>
      <w:r w:rsidDel="00000000" w:rsidR="00000000" w:rsidRPr="00000000">
        <w:rPr>
          <w:rtl w:val="0"/>
        </w:rPr>
      </w:r>
    </w:p>
    <w:sectPr>
      <w:footerReference r:id="rId9" w:type="default"/>
      <w:type w:val="continuous"/>
      <w:pgSz w:h="16838" w:w="11906" w:orient="portrait"/>
      <w:pgMar w:bottom="1700.7874015748032" w:top="2267.716535433071" w:left="2267.716535433071" w:right="1700.787401574803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480" w:lineRule="auto"/>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spacing w:line="480" w:lineRule="auto"/>
      <w:ind w:left="720" w:hanging="360"/>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