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i w:val="0"/>
        </w:rPr>
      </w:pPr>
    </w:p>
    <w:p>
      <w:pPr>
        <w:pStyle w:val="Heading1"/>
      </w:pPr>
      <w:bookmarkStart w:name="ABSTRAK" w:id="1"/>
      <w:bookmarkEnd w:id="1"/>
      <w:r>
        <w:rPr>
          <w:b w:val="0"/>
        </w:rPr>
      </w:r>
      <w:r>
        <w:rPr>
          <w:spacing w:val="-2"/>
        </w:rPr>
        <w:t>ABSTRAK</w:t>
      </w:r>
    </w:p>
    <w:p>
      <w:pPr>
        <w:pStyle w:val="BodyText"/>
        <w:spacing w:before="72"/>
        <w:rPr>
          <w:b/>
          <w:i w:val="0"/>
        </w:rPr>
      </w:pPr>
    </w:p>
    <w:p>
      <w:pPr>
        <w:spacing w:line="259" w:lineRule="auto" w:before="0"/>
        <w:ind w:left="568" w:right="136" w:firstLine="0"/>
        <w:jc w:val="both"/>
        <w:rPr>
          <w:sz w:val="24"/>
        </w:rPr>
      </w:pPr>
      <w:r>
        <w:rPr>
          <w:sz w:val="24"/>
        </w:rPr>
        <w:t>Penelitian ini bertujuan untuk menguji pengaruh </w:t>
      </w:r>
      <w:r>
        <w:rPr>
          <w:i/>
          <w:sz w:val="24"/>
        </w:rPr>
        <w:t>cash holding</w:t>
      </w:r>
      <w:r>
        <w:rPr>
          <w:sz w:val="24"/>
        </w:rPr>
        <w:t>, </w:t>
      </w:r>
      <w:r>
        <w:rPr>
          <w:i/>
          <w:sz w:val="24"/>
        </w:rPr>
        <w:t>firm size</w:t>
      </w:r>
      <w:r>
        <w:rPr>
          <w:sz w:val="24"/>
        </w:rPr>
        <w:t>, dan profitabilitas</w:t>
      </w:r>
      <w:r>
        <w:rPr>
          <w:spacing w:val="-6"/>
          <w:sz w:val="24"/>
        </w:rPr>
        <w:t> </w:t>
      </w:r>
      <w:r>
        <w:rPr>
          <w:sz w:val="24"/>
        </w:rPr>
        <w:t>terhadap</w:t>
      </w:r>
      <w:r>
        <w:rPr>
          <w:spacing w:val="-5"/>
          <w:sz w:val="24"/>
        </w:rPr>
        <w:t> </w:t>
      </w:r>
      <w:r>
        <w:rPr>
          <w:sz w:val="24"/>
        </w:rPr>
        <w:t>nilai</w:t>
      </w:r>
      <w:r>
        <w:rPr>
          <w:spacing w:val="-5"/>
          <w:sz w:val="24"/>
        </w:rPr>
        <w:t> </w:t>
      </w:r>
      <w:r>
        <w:rPr>
          <w:sz w:val="24"/>
        </w:rPr>
        <w:t>perusahaan</w:t>
      </w:r>
      <w:r>
        <w:rPr>
          <w:spacing w:val="-5"/>
          <w:sz w:val="24"/>
        </w:rPr>
        <w:t> </w:t>
      </w:r>
      <w:r>
        <w:rPr>
          <w:sz w:val="24"/>
        </w:rPr>
        <w:t>dengan</w:t>
      </w:r>
      <w:r>
        <w:rPr>
          <w:spacing w:val="-3"/>
          <w:sz w:val="24"/>
        </w:rPr>
        <w:t> </w:t>
      </w:r>
      <w:r>
        <w:rPr>
          <w:i/>
          <w:sz w:val="24"/>
        </w:rPr>
        <w:t>good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corporate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governance</w:t>
      </w:r>
      <w:r>
        <w:rPr>
          <w:i/>
          <w:spacing w:val="-4"/>
          <w:sz w:val="24"/>
        </w:rPr>
        <w:t> </w:t>
      </w:r>
      <w:r>
        <w:rPr>
          <w:sz w:val="24"/>
        </w:rPr>
        <w:t>(GCG) sebagai variabel moderasi pada perusahaan pertambangan yang terdaftar di Bursa Efek Indonesia periode 2021-2025. Penelitian ini menggunakan pendekatan kuantitatif dengan data sekunder berupa laporan keuangan dan laporan tahunan. Sampel ditentukan dengan teknik </w:t>
      </w:r>
      <w:r>
        <w:rPr>
          <w:i/>
          <w:sz w:val="24"/>
        </w:rPr>
        <w:t>purposive sampling </w:t>
      </w:r>
      <w:r>
        <w:rPr>
          <w:sz w:val="24"/>
        </w:rPr>
        <w:t>sehingga diperoleh 31 perusahaan dengan 155 observasi. Analisis data menggunakan regresi linear berganda</w:t>
      </w:r>
      <w:r>
        <w:rPr>
          <w:spacing w:val="-2"/>
          <w:sz w:val="24"/>
        </w:rPr>
        <w:t> </w:t>
      </w:r>
      <w:r>
        <w:rPr>
          <w:sz w:val="24"/>
        </w:rPr>
        <w:t>dan </w:t>
      </w:r>
      <w:r>
        <w:rPr>
          <w:i/>
          <w:sz w:val="24"/>
        </w:rPr>
        <w:t>Moderated Regression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Analysis </w:t>
      </w:r>
      <w:r>
        <w:rPr>
          <w:sz w:val="24"/>
        </w:rPr>
        <w:t>(MRA)</w:t>
      </w:r>
      <w:r>
        <w:rPr>
          <w:spacing w:val="-2"/>
          <w:sz w:val="24"/>
        </w:rPr>
        <w:t> </w:t>
      </w:r>
      <w:r>
        <w:rPr>
          <w:sz w:val="24"/>
        </w:rPr>
        <w:t>dengan bantuan IBM</w:t>
      </w:r>
      <w:r>
        <w:rPr>
          <w:spacing w:val="-1"/>
          <w:sz w:val="24"/>
        </w:rPr>
        <w:t> </w:t>
      </w:r>
      <w:r>
        <w:rPr>
          <w:sz w:val="24"/>
        </w:rPr>
        <w:t>SPSS. Hasil penelitian menunjukkan bahwa </w:t>
      </w:r>
      <w:r>
        <w:rPr>
          <w:i/>
          <w:sz w:val="24"/>
        </w:rPr>
        <w:t>firm size </w:t>
      </w:r>
      <w:r>
        <w:rPr>
          <w:sz w:val="24"/>
        </w:rPr>
        <w:t>berpengaruh positif dan signifikan terhadap nilai perusahaan, sedangkan </w:t>
      </w:r>
      <w:r>
        <w:rPr>
          <w:i/>
          <w:sz w:val="24"/>
        </w:rPr>
        <w:t>cash holding </w:t>
      </w:r>
      <w:r>
        <w:rPr>
          <w:sz w:val="24"/>
        </w:rPr>
        <w:t>dan profitabilitas tidak berpengaruh signifikan terhadap nilai perusahaan. GCG yang diproksikan dengan jumlah dewan komisaris tidak mampu memoderasi pengaruh </w:t>
      </w:r>
      <w:r>
        <w:rPr>
          <w:i/>
          <w:sz w:val="24"/>
        </w:rPr>
        <w:t>cash holding</w:t>
      </w:r>
      <w:r>
        <w:rPr>
          <w:sz w:val="24"/>
        </w:rPr>
        <w:t>, </w:t>
      </w:r>
      <w:r>
        <w:rPr>
          <w:i/>
          <w:sz w:val="24"/>
        </w:rPr>
        <w:t>firm size</w:t>
      </w:r>
      <w:r>
        <w:rPr>
          <w:sz w:val="24"/>
        </w:rPr>
        <w:t>, maupun profitabilitas terhadap nilai perusahaan.</w:t>
      </w:r>
    </w:p>
    <w:p>
      <w:pPr>
        <w:spacing w:line="259" w:lineRule="auto" w:before="158"/>
        <w:ind w:left="568" w:right="138" w:firstLine="0"/>
        <w:jc w:val="both"/>
        <w:rPr>
          <w:sz w:val="24"/>
        </w:rPr>
      </w:pPr>
      <w:r>
        <w:rPr>
          <w:b/>
          <w:sz w:val="24"/>
        </w:rPr>
        <w:t>Kata kunci: </w:t>
      </w:r>
      <w:r>
        <w:rPr>
          <w:sz w:val="24"/>
        </w:rPr>
        <w:t>nilai perusahaan, </w:t>
      </w:r>
      <w:r>
        <w:rPr>
          <w:i/>
          <w:sz w:val="24"/>
        </w:rPr>
        <w:t>cash holding</w:t>
      </w:r>
      <w:r>
        <w:rPr>
          <w:sz w:val="24"/>
        </w:rPr>
        <w:t>, </w:t>
      </w:r>
      <w:r>
        <w:rPr>
          <w:i/>
          <w:sz w:val="24"/>
        </w:rPr>
        <w:t>firm size</w:t>
      </w:r>
      <w:r>
        <w:rPr>
          <w:sz w:val="24"/>
        </w:rPr>
        <w:t>, profitabilitas, </w:t>
      </w:r>
      <w:r>
        <w:rPr>
          <w:i/>
          <w:sz w:val="24"/>
        </w:rPr>
        <w:t>good corporate governance</w:t>
      </w:r>
      <w:r>
        <w:rPr>
          <w:sz w:val="24"/>
        </w:rPr>
        <w:t>, perusahaan pertambangan</w:t>
      </w:r>
    </w:p>
    <w:p>
      <w:pPr>
        <w:spacing w:after="0" w:line="259" w:lineRule="auto"/>
        <w:jc w:val="both"/>
        <w:rPr>
          <w:sz w:val="24"/>
        </w:rPr>
        <w:sectPr>
          <w:type w:val="continuous"/>
          <w:pgSz w:w="11910" w:h="16840"/>
          <w:pgMar w:top="1920" w:bottom="280" w:left="1700" w:right="1559"/>
        </w:sectPr>
      </w:pPr>
    </w:p>
    <w:p>
      <w:pPr>
        <w:pStyle w:val="BodyText"/>
        <w:rPr>
          <w:i w:val="0"/>
        </w:rPr>
      </w:pPr>
    </w:p>
    <w:p>
      <w:pPr>
        <w:pStyle w:val="Heading2"/>
      </w:pPr>
      <w:bookmarkStart w:name="ABSTRACT" w:id="2"/>
      <w:bookmarkEnd w:id="2"/>
      <w:r>
        <w:rPr>
          <w:b w:val="0"/>
          <w:i w:val="0"/>
        </w:rPr>
      </w:r>
      <w:r>
        <w:rPr>
          <w:spacing w:val="-2"/>
        </w:rPr>
        <w:t>ABSTRACT</w:t>
      </w:r>
    </w:p>
    <w:p>
      <w:pPr>
        <w:pStyle w:val="BodyText"/>
        <w:spacing w:before="72"/>
        <w:rPr>
          <w:b/>
        </w:rPr>
      </w:pPr>
    </w:p>
    <w:p>
      <w:pPr>
        <w:pStyle w:val="BodyText"/>
        <w:spacing w:before="0"/>
        <w:ind w:left="568" w:right="136"/>
        <w:jc w:val="both"/>
      </w:pPr>
      <w:r>
        <w:rPr/>
        <w:t>This study aims to examine the effects of cash holdings, firm size, and profitability on firm value, with good corporate governance (GCG) as a moderator variable, among</w:t>
      </w:r>
      <w:r>
        <w:rPr>
          <w:spacing w:val="-11"/>
        </w:rPr>
        <w:t> </w:t>
      </w:r>
      <w:r>
        <w:rPr/>
        <w:t>mining</w:t>
      </w:r>
      <w:r>
        <w:rPr>
          <w:spacing w:val="-10"/>
        </w:rPr>
        <w:t> </w:t>
      </w:r>
      <w:r>
        <w:rPr/>
        <w:t>companies</w:t>
      </w:r>
      <w:r>
        <w:rPr>
          <w:spacing w:val="-8"/>
        </w:rPr>
        <w:t> </w:t>
      </w:r>
      <w:r>
        <w:rPr/>
        <w:t>listed</w:t>
      </w:r>
      <w:r>
        <w:rPr>
          <w:spacing w:val="-11"/>
        </w:rPr>
        <w:t> </w:t>
      </w:r>
      <w:r>
        <w:rPr/>
        <w:t>on</w:t>
      </w:r>
      <w:r>
        <w:rPr>
          <w:spacing w:val="-11"/>
        </w:rPr>
        <w:t> </w:t>
      </w:r>
      <w:r>
        <w:rPr/>
        <w:t>the</w:t>
      </w:r>
      <w:r>
        <w:rPr>
          <w:spacing w:val="-9"/>
        </w:rPr>
        <w:t> </w:t>
      </w:r>
      <w:r>
        <w:rPr/>
        <w:t>Indonesia</w:t>
      </w:r>
      <w:r>
        <w:rPr>
          <w:spacing w:val="-10"/>
        </w:rPr>
        <w:t> </w:t>
      </w:r>
      <w:r>
        <w:rPr/>
        <w:t>Stock</w:t>
      </w:r>
      <w:r>
        <w:rPr>
          <w:spacing w:val="-12"/>
        </w:rPr>
        <w:t> </w:t>
      </w:r>
      <w:r>
        <w:rPr/>
        <w:t>Exchange</w:t>
      </w:r>
      <w:r>
        <w:rPr>
          <w:spacing w:val="-9"/>
        </w:rPr>
        <w:t> </w:t>
      </w:r>
      <w:r>
        <w:rPr/>
        <w:t>during</w:t>
      </w:r>
      <w:r>
        <w:rPr>
          <w:spacing w:val="-11"/>
        </w:rPr>
        <w:t> </w:t>
      </w:r>
      <w:r>
        <w:rPr/>
        <w:t>the</w:t>
      </w:r>
      <w:r>
        <w:rPr>
          <w:spacing w:val="-3"/>
        </w:rPr>
        <w:t> </w:t>
      </w:r>
      <w:r>
        <w:rPr/>
        <w:t>2021–2025 period. This study employs a quantitative approach using secondary data in the</w:t>
      </w:r>
      <w:r>
        <w:rPr>
          <w:spacing w:val="-9"/>
        </w:rPr>
        <w:t> </w:t>
      </w:r>
      <w:r>
        <w:rPr/>
        <w:t>form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financial</w:t>
      </w:r>
      <w:r>
        <w:rPr>
          <w:spacing w:val="-9"/>
        </w:rPr>
        <w:t> </w:t>
      </w:r>
      <w:r>
        <w:rPr/>
        <w:t>statements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annual</w:t>
      </w:r>
      <w:r>
        <w:rPr>
          <w:spacing w:val="-9"/>
        </w:rPr>
        <w:t> </w:t>
      </w:r>
      <w:r>
        <w:rPr/>
        <w:t>reports.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sample</w:t>
      </w:r>
      <w:r>
        <w:rPr>
          <w:spacing w:val="-9"/>
        </w:rPr>
        <w:t> </w:t>
      </w:r>
      <w:r>
        <w:rPr/>
        <w:t>was</w:t>
      </w:r>
      <w:r>
        <w:rPr>
          <w:spacing w:val="-9"/>
        </w:rPr>
        <w:t> </w:t>
      </w:r>
      <w:r>
        <w:rPr/>
        <w:t>selected</w:t>
      </w:r>
      <w:r>
        <w:rPr>
          <w:spacing w:val="-9"/>
        </w:rPr>
        <w:t> </w:t>
      </w:r>
      <w:r>
        <w:rPr/>
        <w:t>using purposive sampling, resulting in 31 companies with 155 observations. Data analysis</w:t>
      </w:r>
      <w:r>
        <w:rPr>
          <w:spacing w:val="-15"/>
        </w:rPr>
        <w:t> </w:t>
      </w:r>
      <w:r>
        <w:rPr/>
        <w:t>was</w:t>
      </w:r>
      <w:r>
        <w:rPr>
          <w:spacing w:val="-15"/>
        </w:rPr>
        <w:t> </w:t>
      </w:r>
      <w:r>
        <w:rPr/>
        <w:t>conducted</w:t>
      </w:r>
      <w:r>
        <w:rPr>
          <w:spacing w:val="-15"/>
        </w:rPr>
        <w:t> </w:t>
      </w:r>
      <w:r>
        <w:rPr/>
        <w:t>using</w:t>
      </w:r>
      <w:r>
        <w:rPr>
          <w:spacing w:val="-15"/>
        </w:rPr>
        <w:t> </w:t>
      </w:r>
      <w:r>
        <w:rPr/>
        <w:t>multiple</w:t>
      </w:r>
      <w:r>
        <w:rPr>
          <w:spacing w:val="-15"/>
        </w:rPr>
        <w:t> </w:t>
      </w:r>
      <w:r>
        <w:rPr/>
        <w:t>linear</w:t>
      </w:r>
      <w:r>
        <w:rPr>
          <w:spacing w:val="-15"/>
        </w:rPr>
        <w:t> </w:t>
      </w:r>
      <w:r>
        <w:rPr/>
        <w:t>regression</w:t>
      </w:r>
      <w:r>
        <w:rPr>
          <w:spacing w:val="-15"/>
        </w:rPr>
        <w:t> </w:t>
      </w:r>
      <w:r>
        <w:rPr/>
        <w:t>and</w:t>
      </w:r>
      <w:r>
        <w:rPr>
          <w:spacing w:val="-15"/>
        </w:rPr>
        <w:t> </w:t>
      </w:r>
      <w:r>
        <w:rPr/>
        <w:t>Moderated</w:t>
      </w:r>
      <w:r>
        <w:rPr>
          <w:spacing w:val="-15"/>
        </w:rPr>
        <w:t> </w:t>
      </w:r>
      <w:r>
        <w:rPr/>
        <w:t>Regression Analysis</w:t>
      </w:r>
      <w:r>
        <w:rPr>
          <w:spacing w:val="-1"/>
        </w:rPr>
        <w:t> </w:t>
      </w:r>
      <w:r>
        <w:rPr/>
        <w:t>(MRA)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aid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IBM</w:t>
      </w:r>
      <w:r>
        <w:rPr>
          <w:spacing w:val="-2"/>
        </w:rPr>
        <w:t> </w:t>
      </w:r>
      <w:r>
        <w:rPr/>
        <w:t>SPSS.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results</w:t>
      </w:r>
      <w:r>
        <w:rPr>
          <w:spacing w:val="-1"/>
        </w:rPr>
        <w:t> </w:t>
      </w:r>
      <w:r>
        <w:rPr/>
        <w:t>indicate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firm</w:t>
      </w:r>
      <w:r>
        <w:rPr>
          <w:spacing w:val="-2"/>
        </w:rPr>
        <w:t> </w:t>
      </w:r>
      <w:r>
        <w:rPr/>
        <w:t>size</w:t>
      </w:r>
      <w:r>
        <w:rPr>
          <w:spacing w:val="-2"/>
        </w:rPr>
        <w:t> </w:t>
      </w:r>
      <w:r>
        <w:rPr/>
        <w:t>has</w:t>
      </w:r>
      <w:r>
        <w:rPr>
          <w:spacing w:val="-1"/>
        </w:rPr>
        <w:t> </w:t>
      </w:r>
      <w:r>
        <w:rPr/>
        <w:t>a positive</w:t>
      </w:r>
      <w:r>
        <w:rPr>
          <w:spacing w:val="-15"/>
        </w:rPr>
        <w:t> </w:t>
      </w:r>
      <w:r>
        <w:rPr/>
        <w:t>and</w:t>
      </w:r>
      <w:r>
        <w:rPr>
          <w:spacing w:val="-15"/>
        </w:rPr>
        <w:t> </w:t>
      </w:r>
      <w:r>
        <w:rPr/>
        <w:t>significant</w:t>
      </w:r>
      <w:r>
        <w:rPr>
          <w:spacing w:val="-15"/>
        </w:rPr>
        <w:t> </w:t>
      </w:r>
      <w:r>
        <w:rPr/>
        <w:t>effect</w:t>
      </w:r>
      <w:r>
        <w:rPr>
          <w:spacing w:val="-15"/>
        </w:rPr>
        <w:t> </w:t>
      </w:r>
      <w:r>
        <w:rPr/>
        <w:t>on</w:t>
      </w:r>
      <w:r>
        <w:rPr>
          <w:spacing w:val="-15"/>
        </w:rPr>
        <w:t> </w:t>
      </w:r>
      <w:r>
        <w:rPr/>
        <w:t>firm</w:t>
      </w:r>
      <w:r>
        <w:rPr>
          <w:spacing w:val="-15"/>
        </w:rPr>
        <w:t> </w:t>
      </w:r>
      <w:r>
        <w:rPr/>
        <w:t>value,</w:t>
      </w:r>
      <w:r>
        <w:rPr>
          <w:spacing w:val="-15"/>
        </w:rPr>
        <w:t> </w:t>
      </w:r>
      <w:r>
        <w:rPr/>
        <w:t>whereas</w:t>
      </w:r>
      <w:r>
        <w:rPr>
          <w:spacing w:val="-15"/>
        </w:rPr>
        <w:t> </w:t>
      </w:r>
      <w:r>
        <w:rPr/>
        <w:t>cash</w:t>
      </w:r>
      <w:r>
        <w:rPr>
          <w:spacing w:val="-15"/>
        </w:rPr>
        <w:t> </w:t>
      </w:r>
      <w:r>
        <w:rPr/>
        <w:t>holdings</w:t>
      </w:r>
      <w:r>
        <w:rPr>
          <w:spacing w:val="-15"/>
        </w:rPr>
        <w:t> </w:t>
      </w:r>
      <w:r>
        <w:rPr/>
        <w:t>and</w:t>
      </w:r>
      <w:r>
        <w:rPr>
          <w:spacing w:val="-15"/>
        </w:rPr>
        <w:t> </w:t>
      </w:r>
      <w:r>
        <w:rPr/>
        <w:t>profitability do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have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significant</w:t>
      </w:r>
      <w:r>
        <w:rPr>
          <w:spacing w:val="-3"/>
        </w:rPr>
        <w:t> </w:t>
      </w:r>
      <w:r>
        <w:rPr/>
        <w:t>effect</w:t>
      </w:r>
      <w:r>
        <w:rPr>
          <w:spacing w:val="-1"/>
        </w:rPr>
        <w:t> </w:t>
      </w:r>
      <w:r>
        <w:rPr/>
        <w:t>on</w:t>
      </w:r>
      <w:r>
        <w:rPr>
          <w:spacing w:val="-1"/>
        </w:rPr>
        <w:t> </w:t>
      </w:r>
      <w:r>
        <w:rPr/>
        <w:t>firm</w:t>
      </w:r>
      <w:r>
        <w:rPr>
          <w:spacing w:val="-2"/>
        </w:rPr>
        <w:t> </w:t>
      </w:r>
      <w:r>
        <w:rPr/>
        <w:t>value.</w:t>
      </w:r>
      <w:r>
        <w:rPr>
          <w:spacing w:val="-2"/>
        </w:rPr>
        <w:t> </w:t>
      </w:r>
      <w:r>
        <w:rPr/>
        <w:t>Good</w:t>
      </w:r>
      <w:r>
        <w:rPr>
          <w:spacing w:val="-2"/>
        </w:rPr>
        <w:t> </w:t>
      </w:r>
      <w:r>
        <w:rPr/>
        <w:t>corporate</w:t>
      </w:r>
      <w:r>
        <w:rPr>
          <w:spacing w:val="-2"/>
        </w:rPr>
        <w:t> </w:t>
      </w:r>
      <w:r>
        <w:rPr/>
        <w:t>governance (GCG), proxied by the number of board members, fails to moderate the effects of cash holdings, firm size, or profitability on firm value.</w:t>
      </w:r>
    </w:p>
    <w:p>
      <w:pPr>
        <w:pStyle w:val="BodyText"/>
        <w:spacing w:before="162"/>
        <w:ind w:left="568" w:right="142"/>
        <w:jc w:val="both"/>
      </w:pPr>
      <w:r>
        <w:rPr>
          <w:b/>
        </w:rPr>
        <w:t>Keywords</w:t>
      </w:r>
      <w:r>
        <w:rPr/>
        <w:t>: firm value, cash holdings, firm size, profitability, good corporate governance, mining companies</w:t>
      </w:r>
    </w:p>
    <w:sectPr>
      <w:pgSz w:w="11910" w:h="16840"/>
      <w:pgMar w:top="1920" w:bottom="28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>
      <w:spacing w:before="55"/>
    </w:pPr>
    <w:rPr>
      <w:rFonts w:ascii="Times New Roman" w:hAnsi="Times New Roman" w:eastAsia="Times New Roman" w:cs="Times New Roman"/>
      <w:i/>
      <w:iCs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430" w:right="2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Heading2" w:type="paragraph">
    <w:name w:val="Heading 2"/>
    <w:basedOn w:val="Normal"/>
    <w:uiPriority w:val="1"/>
    <w:qFormat/>
    <w:pPr>
      <w:ind w:left="430"/>
      <w:jc w:val="center"/>
      <w:outlineLvl w:val="2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2026-10-07T01:36:33Z</dcterms:created>
  <dcterms:modified xsi:type="dcterms:W3CDTF">2026-10-07T01:36:33Z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LastSaved">
    <vt:filetime>2026-10-07T00:00:00Z</vt:filetime>
  </property>
  <property fmtid="{D5CDD505-2E9C-101B-9397-08002B2CF9AE}" pid="5" name="Producer">
    <vt:lpwstr>iLovePDF</vt:lpwstr>
  </property>
</Properties>
</file>